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sz w:val="24"/>
          <w:szCs w:val="24"/>
        </w:rPr>
      </w:pPr>
      <w:r>
        <w:rPr>
          <w:sz w:val="24"/>
          <w:szCs w:val="24"/>
        </w:rPr>
        <w:t xml:space="preserve">Приложение 1 к Документации о закупке</w:t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Технические требования на выполнение работ</w:t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both"/>
        <w:keepLines/>
        <w:keepNext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  <w:r>
        <w:rPr>
          <w:rFonts w:eastAsia="Calibri"/>
          <w:b/>
          <w:sz w:val="28"/>
          <w:szCs w:val="28"/>
        </w:rPr>
      </w:r>
    </w:p>
    <w:p>
      <w:pPr>
        <w:jc w:val="center"/>
        <w:keepLines/>
        <w:keepNext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>
      <w:pPr>
        <w:jc w:val="center"/>
        <w:keepLines/>
        <w:keepNext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ОКПД2 45.20.21.212 Выполнение работ по ремонту двигателей внутреннего сгорания самоходных машин и транспортных средств структурного подразделения "Хабаровская ТЭЦ-3" г. Хабаровск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>
      <w:pPr>
        <w:jc w:val="center"/>
        <w:keepLines/>
        <w:keepNext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>
      <w:pPr>
        <w:jc w:val="center"/>
        <w:keepLines/>
        <w:keepNext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Лот 11022024-РЕМ ПРОД-2026-ДГК-ХТЭЦ3</w:t>
      </w:r>
      <w:r>
        <w:rPr>
          <w:bCs/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</w:rPr>
      </w:r>
    </w:p>
    <w:p>
      <w:pPr>
        <w:jc w:val="both"/>
        <w:keepLines/>
        <w:keepNext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br w:type="page" w:clear="all"/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СОДЕРЖАНИЕ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927"/>
        <w:jc w:val="both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>
        <w:rPr>
          <w:rFonts w:cstheme="majorHAnsi"/>
          <w:b w:val="0"/>
          <w:i/>
        </w:rPr>
        <w:fldChar w:fldCharType="begin"/>
      </w:r>
      <w:r>
        <w:rPr>
          <w:rFonts w:cstheme="majorHAnsi"/>
          <w:b w:val="0"/>
          <w:i/>
        </w:rPr>
        <w:instrText xml:space="preserve"> TOC \o "1-4" \h \z \u </w:instrText>
      </w:r>
      <w:r>
        <w:rPr>
          <w:rFonts w:cstheme="majorHAnsi"/>
          <w:b w:val="0"/>
          <w:i/>
        </w:rPr>
        <w:fldChar w:fldCharType="separate"/>
      </w:r>
      <w:hyperlink w:tooltip="#_Toc54646395" w:anchor="_Toc54646395" w:history="1">
        <w:r>
          <w:rPr>
            <w:rStyle w:val="929"/>
          </w:rPr>
          <w:t xml:space="preserve">1.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29"/>
          </w:rPr>
          <w:t xml:space="preserve">Общие сведения</w:t>
        </w:r>
        <w:r>
          <w:tab/>
          <w:t xml:space="preserve">3</w:t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40"/>
        <w:jc w:val="both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396" w:anchor="_Toc54646396" w:history="1">
        <w:r>
          <w:rPr>
            <w:rStyle w:val="929"/>
            <w:iCs/>
            <w:sz w:val="24"/>
            <w:szCs w:val="24"/>
          </w:rPr>
          <w:t xml:space="preserve">1.1.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29"/>
            <w:sz w:val="24"/>
            <w:szCs w:val="24"/>
          </w:rPr>
          <w:t xml:space="preserve">Обозначения и сокращения</w:t>
        </w:r>
        <w:r>
          <w:rPr>
            <w:sz w:val="24"/>
            <w:szCs w:val="24"/>
          </w:rPr>
          <w:tab/>
        </w:r>
        <w:r>
          <w:rPr>
            <w:sz w:val="24"/>
            <w:szCs w:val="24"/>
            <w:lang w:val="en-US"/>
          </w:rPr>
          <w:t xml:space="preserve">3</w:t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40"/>
        <w:jc w:val="both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397" w:anchor="_Toc54646397" w:history="1">
        <w:r>
          <w:rPr>
            <w:rStyle w:val="929"/>
            <w:iCs/>
            <w:sz w:val="24"/>
            <w:szCs w:val="24"/>
          </w:rPr>
          <w:t xml:space="preserve">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29"/>
            <w:sz w:val="24"/>
            <w:szCs w:val="24"/>
          </w:rPr>
          <w:t xml:space="preserve">Наименование закупаемой продукции</w:t>
        </w:r>
        <w:r>
          <w:rPr>
            <w:sz w:val="24"/>
            <w:szCs w:val="24"/>
          </w:rPr>
          <w:tab/>
        </w:r>
        <w:r>
          <w:rPr>
            <w:sz w:val="24"/>
            <w:szCs w:val="24"/>
            <w:lang w:val="en-US"/>
          </w:rPr>
          <w:t xml:space="preserve">4</w:t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40"/>
        <w:jc w:val="both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  <w:lang w:val="en-US"/>
        </w:rPr>
      </w:pPr>
      <w:r/>
      <w:hyperlink w:tooltip="#_Toc54646398" w:anchor="_Toc54646398" w:history="1">
        <w:r>
          <w:rPr>
            <w:rStyle w:val="929"/>
            <w:iCs/>
            <w:sz w:val="24"/>
            <w:szCs w:val="24"/>
          </w:rPr>
          <w:t xml:space="preserve">1.3.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29"/>
            <w:sz w:val="24"/>
            <w:szCs w:val="24"/>
          </w:rPr>
          <w:t xml:space="preserve">Цель выполнения работ </w:t>
        </w:r>
        <w:r>
          <w:rPr>
            <w:sz w:val="24"/>
            <w:szCs w:val="24"/>
          </w:rPr>
          <w:tab/>
        </w:r>
        <w:r>
          <w:rPr>
            <w:sz w:val="24"/>
            <w:szCs w:val="24"/>
            <w:lang w:val="en-US"/>
          </w:rPr>
          <w:t xml:space="preserve">4</w:t>
        </w:r>
      </w:hyperlink>
      <w:r>
        <w:rPr>
          <w:rFonts w:asciiTheme="minorHAnsi" w:hAnsiTheme="minorHAnsi" w:eastAsiaTheme="minorEastAsia" w:cstheme="minorBidi"/>
          <w:sz w:val="24"/>
          <w:szCs w:val="24"/>
          <w:lang w:val="en-US"/>
        </w:rPr>
      </w:r>
      <w:r>
        <w:rPr>
          <w:rFonts w:asciiTheme="minorHAnsi" w:hAnsiTheme="minorHAnsi" w:eastAsiaTheme="minorEastAsia" w:cstheme="minorBidi"/>
          <w:sz w:val="24"/>
          <w:szCs w:val="24"/>
          <w:lang w:val="en-US"/>
        </w:rPr>
      </w:r>
    </w:p>
    <w:p>
      <w:pPr>
        <w:pStyle w:val="940"/>
        <w:jc w:val="both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  <w:lang w:val="en-US"/>
        </w:rPr>
      </w:pPr>
      <w:r/>
      <w:hyperlink w:tooltip="#_Toc54646399" w:anchor="_Toc54646399" w:history="1">
        <w:r>
          <w:rPr>
            <w:rStyle w:val="929"/>
            <w:iCs/>
            <w:sz w:val="24"/>
            <w:szCs w:val="24"/>
          </w:rPr>
          <w:t xml:space="preserve">1.4.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sz w:val="24"/>
            <w:szCs w:val="24"/>
          </w:rPr>
          <w:t xml:space="preserve">Информация в отношении исполнения договора, которая должна быть учтена при подготовке заявки</w:t>
        </w:r>
        <w:r>
          <w:rPr>
            <w:sz w:val="24"/>
            <w:szCs w:val="24"/>
          </w:rPr>
          <w:tab/>
        </w:r>
        <w:r>
          <w:rPr>
            <w:sz w:val="24"/>
            <w:szCs w:val="24"/>
            <w:lang w:val="en-US"/>
          </w:rPr>
          <w:t xml:space="preserve">4</w:t>
        </w:r>
      </w:hyperlink>
      <w:r>
        <w:rPr>
          <w:rFonts w:asciiTheme="minorHAnsi" w:hAnsiTheme="minorHAnsi" w:eastAsiaTheme="minorEastAsia" w:cstheme="minorBidi"/>
          <w:sz w:val="24"/>
          <w:szCs w:val="24"/>
          <w:lang w:val="en-US"/>
        </w:rPr>
      </w:r>
      <w:r>
        <w:rPr>
          <w:rFonts w:asciiTheme="minorHAnsi" w:hAnsiTheme="minorHAnsi" w:eastAsiaTheme="minorEastAsia" w:cstheme="minorBidi"/>
          <w:sz w:val="24"/>
          <w:szCs w:val="24"/>
          <w:lang w:val="en-US"/>
        </w:rPr>
      </w:r>
    </w:p>
    <w:p>
      <w:pPr>
        <w:pStyle w:val="927"/>
        <w:jc w:val="both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03" w:anchor="_Toc54646403" w:history="1">
        <w:r>
          <w:rPr>
            <w:rStyle w:val="929"/>
          </w:rPr>
          <w:t xml:space="preserve">2.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29"/>
            <w:iCs/>
          </w:rPr>
          <w:t xml:space="preserve">Требования к продукции</w:t>
        </w:r>
        <w:r>
          <w:tab/>
        </w:r>
        <w:r>
          <w:fldChar w:fldCharType="begin"/>
        </w:r>
        <w:r>
          <w:instrText xml:space="preserve"> PAGEREF _Toc54646403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40"/>
        <w:jc w:val="both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404" w:anchor="_Toc54646404" w:history="1">
        <w:r>
          <w:rPr>
            <w:rStyle w:val="929"/>
            <w:iCs/>
            <w:sz w:val="24"/>
            <w:szCs w:val="24"/>
          </w:rPr>
          <w:t xml:space="preserve">2.1.</w:t>
        </w:r>
        <w:r>
          <w:rPr>
            <w:rStyle w:val="929"/>
            <w:iCs/>
            <w:sz w:val="24"/>
            <w:szCs w:val="24"/>
            <w:lang w:val="en-US"/>
          </w:rPr>
          <w:t xml:space="preserve">1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29"/>
            <w:sz w:val="24"/>
            <w:szCs w:val="24"/>
          </w:rPr>
          <w:t xml:space="preserve">Требования к объемам и срокам выполнения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_Toc54646404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2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28"/>
        <w:jc w:val="both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  <w:lang w:val="en-US"/>
        </w:rPr>
      </w:pPr>
      <w:r/>
      <w:hyperlink w:tooltip="#_Toc54646405" w:anchor="_Toc54646405" w:history="1">
        <w:r>
          <w:rPr>
            <w:rStyle w:val="929"/>
            <w:sz w:val="24"/>
            <w:szCs w:val="24"/>
          </w:rPr>
          <w:t xml:space="preserve">2.1.</w:t>
        </w:r>
        <w:r>
          <w:rPr>
            <w:rStyle w:val="929"/>
            <w:sz w:val="24"/>
            <w:szCs w:val="24"/>
            <w:lang w:val="en-US"/>
          </w:rPr>
          <w:t xml:space="preserve">2</w:t>
        </w:r>
        <w:r>
          <w:rPr>
            <w:rStyle w:val="929"/>
            <w:sz w:val="24"/>
            <w:szCs w:val="24"/>
          </w:rPr>
          <w:t xml:space="preserve">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29"/>
            <w:sz w:val="24"/>
            <w:szCs w:val="24"/>
          </w:rPr>
          <w:t xml:space="preserve">Требования к видам и объемам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  <w:lang w:val="en-US"/>
          </w:rPr>
          <w:t xml:space="preserve">6</w:t>
        </w:r>
      </w:hyperlink>
      <w:r>
        <w:rPr>
          <w:rFonts w:asciiTheme="minorHAnsi" w:hAnsiTheme="minorHAnsi" w:eastAsiaTheme="minorEastAsia" w:cstheme="minorBidi"/>
          <w:sz w:val="24"/>
          <w:szCs w:val="24"/>
          <w:lang w:val="en-US"/>
        </w:rPr>
      </w:r>
      <w:r>
        <w:rPr>
          <w:rFonts w:asciiTheme="minorHAnsi" w:hAnsiTheme="minorHAnsi" w:eastAsiaTheme="minorEastAsia" w:cstheme="minorBidi"/>
          <w:sz w:val="24"/>
          <w:szCs w:val="24"/>
          <w:lang w:val="en-US"/>
        </w:rPr>
      </w:r>
    </w:p>
    <w:p>
      <w:pPr>
        <w:pStyle w:val="927"/>
        <w:jc w:val="both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06" w:anchor="_Toc54646406" w:history="1">
        <w:r>
          <w:rPr>
            <w:rStyle w:val="929"/>
          </w:rPr>
          <w:t xml:space="preserve">Таблица 2. Перечень и объем выполняемых работ</w:t>
        </w:r>
        <w:r>
          <w:tab/>
        </w:r>
        <w:r>
          <w:fldChar w:fldCharType="begin"/>
        </w:r>
        <w:r>
          <w:instrText xml:space="preserve"> PAGEREF _Toc54646406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28"/>
        <w:jc w:val="both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407" w:anchor="_Toc54646407" w:history="1">
        <w:r>
          <w:rPr>
            <w:rStyle w:val="929"/>
            <w:sz w:val="24"/>
            <w:szCs w:val="24"/>
          </w:rPr>
          <w:t xml:space="preserve">2.1.2.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29"/>
            <w:sz w:val="24"/>
            <w:szCs w:val="24"/>
          </w:rPr>
          <w:t xml:space="preserve">Требования к срокам выполнения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PAGEREF _Toc54646407 \h </w:instrText>
        </w:r>
        <w:r>
          <w:rPr>
            <w:sz w:val="24"/>
            <w:szCs w:val="24"/>
          </w:rPr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 xml:space="preserve">2</w:t>
        </w:r>
        <w:r>
          <w:rPr>
            <w:sz w:val="24"/>
            <w:szCs w:val="24"/>
          </w:rPr>
          <w:fldChar w:fldCharType="end"/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27"/>
        <w:jc w:val="both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08" w:anchor="_Toc54646408" w:history="1">
        <w:r>
          <w:rPr>
            <w:rStyle w:val="929"/>
          </w:rPr>
          <w:t xml:space="preserve">Таблица 3. Требования по срокам выполнения работ</w:t>
        </w:r>
        <w:r>
          <w:tab/>
        </w:r>
        <w:r>
          <w:fldChar w:fldCharType="begin"/>
        </w:r>
        <w:r>
          <w:instrText xml:space="preserve"> PAGEREF _Toc54646408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40"/>
        <w:jc w:val="both"/>
        <w:tabs>
          <w:tab w:val="left" w:pos="1120" w:leader="none"/>
          <w:tab w:val="right" w:pos="9911" w:leader="dot"/>
        </w:tabs>
        <w:rPr>
          <w:rFonts w:asciiTheme="minorHAnsi" w:hAnsiTheme="minorHAnsi" w:eastAsiaTheme="minorEastAsia" w:cstheme="minorBidi"/>
          <w:sz w:val="24"/>
          <w:szCs w:val="24"/>
        </w:rPr>
      </w:pPr>
      <w:r/>
      <w:hyperlink w:tooltip="#_Toc54646409" w:anchor="_Toc54646409" w:history="1">
        <w:r>
          <w:rPr>
            <w:rStyle w:val="929"/>
            <w:iCs/>
            <w:sz w:val="24"/>
            <w:szCs w:val="24"/>
          </w:rPr>
          <w:t xml:space="preserve">2.2.</w:t>
        </w:r>
        <w:r>
          <w:rPr>
            <w:rFonts w:asciiTheme="minorHAnsi" w:hAnsiTheme="minorHAnsi" w:eastAsiaTheme="minorEastAsia" w:cstheme="minorBidi"/>
            <w:sz w:val="24"/>
            <w:szCs w:val="24"/>
          </w:rPr>
          <w:tab/>
        </w:r>
        <w:r>
          <w:rPr>
            <w:rStyle w:val="929"/>
            <w:sz w:val="24"/>
            <w:szCs w:val="24"/>
          </w:rPr>
          <w:t xml:space="preserve">Требования к качеству работ</w:t>
        </w:r>
        <w:r>
          <w:rPr>
            <w:sz w:val="24"/>
            <w:szCs w:val="24"/>
          </w:rPr>
          <w:tab/>
        </w:r>
        <w:r>
          <w:rPr>
            <w:sz w:val="24"/>
            <w:szCs w:val="24"/>
            <w:lang w:val="en-US"/>
          </w:rPr>
          <w:t xml:space="preserve">9</w:t>
        </w:r>
      </w:hyperlink>
      <w:r>
        <w:rPr>
          <w:rFonts w:asciiTheme="minorHAnsi" w:hAnsiTheme="minorHAnsi" w:eastAsiaTheme="minorEastAsia" w:cstheme="minorBidi"/>
          <w:sz w:val="24"/>
          <w:szCs w:val="24"/>
        </w:rPr>
      </w:r>
      <w:r>
        <w:rPr>
          <w:rFonts w:asciiTheme="minorHAnsi" w:hAnsiTheme="minorHAnsi" w:eastAsiaTheme="minorEastAsia" w:cstheme="minorBidi"/>
          <w:sz w:val="24"/>
          <w:szCs w:val="24"/>
        </w:rPr>
      </w:r>
    </w:p>
    <w:p>
      <w:pPr>
        <w:pStyle w:val="927"/>
        <w:jc w:val="both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0" w:anchor="_Toc54646410" w:history="1">
        <w:r>
          <w:rPr>
            <w:rStyle w:val="929"/>
          </w:rPr>
          <w:t xml:space="preserve">Таблица 4. Требования к качеству работ</w:t>
        </w:r>
        <w:r>
          <w:tab/>
        </w:r>
        <w:r>
          <w:fldChar w:fldCharType="begin"/>
        </w:r>
        <w:r>
          <w:instrText xml:space="preserve"> PAGEREF _Toc54646410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27"/>
        <w:jc w:val="both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1" w:anchor="_Toc54646411" w:history="1">
        <w:r>
          <w:rPr>
            <w:rStyle w:val="929"/>
          </w:rPr>
          <w:t xml:space="preserve">3.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29"/>
          </w:rPr>
          <w:t xml:space="preserve">Требования к документации по ценообразованию на этапе закупки</w:t>
        </w:r>
        <w:r>
          <w:tab/>
        </w:r>
        <w:r>
          <w:fldChar w:fldCharType="begin"/>
        </w:r>
        <w:r>
          <w:instrText xml:space="preserve"> PAGEREF _Toc54646411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27"/>
        <w:jc w:val="both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2" w:anchor="_Toc54646412" w:history="1">
        <w:r>
          <w:rPr>
            <w:rStyle w:val="929"/>
          </w:rPr>
          <w:t xml:space="preserve">4.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29"/>
          </w:rPr>
          <w:t xml:space="preserve">Требования к документации по ценообразованию на этапе заключения (исполнения) договора</w:t>
        </w:r>
        <w:r>
          <w:tab/>
        </w:r>
        <w:r>
          <w:fldChar w:fldCharType="begin"/>
        </w:r>
        <w:r>
          <w:instrText xml:space="preserve"> PAGEREF _Toc54646412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27"/>
        <w:jc w:val="both"/>
        <w:tabs>
          <w:tab w:val="left" w:pos="560" w:leader="none"/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/>
      <w:hyperlink w:tooltip="#_Toc54646413" w:anchor="_Toc54646413" w:history="1">
        <w:r>
          <w:rPr>
            <w:rStyle w:val="929"/>
          </w:rPr>
          <w:t xml:space="preserve">5.</w:t>
        </w:r>
        <w:r>
          <w:rPr>
            <w:rFonts w:asciiTheme="minorHAnsi" w:hAnsiTheme="minorHAnsi" w:eastAsiaTheme="minorEastAsia" w:cstheme="minorBidi"/>
            <w:b w:val="0"/>
            <w:bCs w:val="0"/>
          </w:rPr>
          <w:tab/>
        </w:r>
        <w:r>
          <w:rPr>
            <w:rStyle w:val="929"/>
            <w:iCs/>
          </w:rPr>
          <w:t xml:space="preserve">Приложения</w:t>
        </w:r>
        <w:r>
          <w:tab/>
        </w:r>
        <w:r>
          <w:fldChar w:fldCharType="begin"/>
        </w:r>
        <w:r>
          <w:instrText xml:space="preserve"> PAGEREF _Toc54646413 \h </w:instrText>
        </w:r>
        <w:r>
          <w:fldChar w:fldCharType="separate"/>
        </w:r>
        <w:r>
          <w:t xml:space="preserve">2</w:t>
        </w:r>
        <w:r>
          <w:fldChar w:fldCharType="end"/>
        </w:r>
      </w:hyperlink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927"/>
        <w:jc w:val="both"/>
        <w:tabs>
          <w:tab w:val="right" w:pos="9911" w:leader="dot"/>
        </w:tabs>
        <w:rPr>
          <w:rFonts w:asciiTheme="minorHAnsi" w:hAnsiTheme="minorHAnsi" w:eastAsiaTheme="minorEastAsia" w:cstheme="minorBidi"/>
          <w:b w:val="0"/>
          <w:bCs w:val="0"/>
        </w:rPr>
      </w:pP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  <w:r>
        <w:rPr>
          <w:rFonts w:asciiTheme="minorHAnsi" w:hAnsiTheme="minorHAnsi" w:eastAsiaTheme="minorEastAsia" w:cstheme="minorBidi"/>
          <w:b w:val="0"/>
          <w:bCs w:val="0"/>
        </w:rPr>
      </w:r>
    </w:p>
    <w:p>
      <w:pPr>
        <w:pStyle w:val="749"/>
        <w:numPr>
          <w:ilvl w:val="0"/>
          <w:numId w:val="0"/>
        </w:numPr>
        <w:jc w:val="both"/>
        <w:rPr>
          <w:b w:val="0"/>
          <w:i/>
        </w:rPr>
      </w:pPr>
      <w:r>
        <w:rPr>
          <w:rFonts w:eastAsia="Times New Roman" w:cstheme="majorHAnsi"/>
          <w:b w:val="0"/>
          <w:i/>
        </w:rPr>
        <w:fldChar w:fldCharType="end"/>
      </w:r>
      <w:r>
        <w:rPr>
          <w:b w:val="0"/>
          <w:i/>
        </w:rPr>
      </w:r>
      <w:r>
        <w:rPr>
          <w:b w:val="0"/>
          <w:i/>
        </w:rPr>
      </w:r>
    </w:p>
    <w:p>
      <w:pPr>
        <w:jc w:val="both"/>
        <w:keepLines/>
        <w:keepNext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 w:clear="all"/>
      </w:r>
      <w:r>
        <w:rPr>
          <w:rFonts w:eastAsia="Calibri"/>
          <w:b/>
          <w:i/>
          <w:sz w:val="24"/>
          <w:szCs w:val="24"/>
        </w:rPr>
      </w:r>
      <w:r>
        <w:rPr>
          <w:rFonts w:eastAsia="Calibri"/>
          <w:b/>
          <w:i/>
          <w:sz w:val="24"/>
          <w:szCs w:val="24"/>
        </w:rPr>
      </w:r>
    </w:p>
    <w:p>
      <w:pPr>
        <w:pStyle w:val="748"/>
        <w:ind w:left="357" w:hanging="357"/>
        <w:jc w:val="both"/>
        <w:keepLines/>
        <w:rPr>
          <w:caps/>
          <w:sz w:val="24"/>
          <w:szCs w:val="24"/>
        </w:rPr>
      </w:pPr>
      <w:r/>
      <w:bookmarkStart w:id="0" w:name="_Toc51339692"/>
      <w:r/>
      <w:bookmarkStart w:id="1" w:name="_Toc54646395"/>
      <w:r>
        <w:rPr>
          <w:sz w:val="24"/>
          <w:szCs w:val="24"/>
        </w:rPr>
        <w:t xml:space="preserve">Общие сведения</w:t>
      </w:r>
      <w:bookmarkEnd w:id="0"/>
      <w:r/>
      <w:bookmarkEnd w:id="1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pStyle w:val="751"/>
        <w:jc w:val="both"/>
      </w:pPr>
      <w:r/>
      <w:bookmarkStart w:id="2" w:name="_Toc46743505"/>
      <w:r/>
      <w:bookmarkStart w:id="3" w:name="_Toc54646396"/>
      <w:r>
        <w:t xml:space="preserve">Обозначения и сокращения</w:t>
      </w:r>
      <w:bookmarkEnd w:id="2"/>
      <w:r/>
      <w:bookmarkEnd w:id="3"/>
      <w:r/>
      <w:r/>
    </w:p>
    <w:p>
      <w:pPr>
        <w:jc w:val="both"/>
        <w:rPr>
          <w:rStyle w:val="990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90"/>
          <w:b w:val="0"/>
          <w:bCs/>
          <w:iCs/>
          <w:sz w:val="24"/>
          <w:szCs w:val="24"/>
        </w:rPr>
      </w:r>
      <w:r>
        <w:rPr>
          <w:rStyle w:val="990"/>
          <w:b w:val="0"/>
          <w:bCs/>
          <w:iCs/>
          <w:sz w:val="24"/>
          <w:szCs w:val="24"/>
        </w:rPr>
      </w:r>
    </w:p>
    <w:tbl>
      <w:tblPr>
        <w:tblW w:w="97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>
        <w:tblPrEx/>
        <w:trPr>
          <w:cantSplit/>
          <w:jc w:val="center"/>
        </w:trPr>
        <w:tc>
          <w:tcPr>
            <w:tcBorders>
              <w:bottom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ТТ</w:t>
            </w:r>
            <w:r>
              <w:rPr>
                <w:rStyle w:val="990"/>
                <w:b w:val="0"/>
                <w:bCs/>
                <w:iCs/>
                <w:sz w:val="24"/>
                <w:szCs w:val="24"/>
              </w:rPr>
            </w:r>
            <w:r>
              <w:rPr>
                <w:rStyle w:val="990"/>
                <w:b w:val="0"/>
                <w:bCs/>
                <w:iCs/>
                <w:sz w:val="24"/>
                <w:szCs w:val="24"/>
              </w:rPr>
            </w:r>
          </w:p>
        </w:tc>
        <w:tc>
          <w:tcPr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Cs/>
                <w:sz w:val="24"/>
                <w:szCs w:val="24"/>
                <w:highlight w:val="white"/>
              </w:rPr>
            </w:pPr>
            <w:r>
              <w:rPr>
                <w:iCs/>
                <w:sz w:val="24"/>
                <w:szCs w:val="24"/>
                <w:highlight w:val="white"/>
              </w:rPr>
              <w:t xml:space="preserve">Технические требования</w:t>
            </w:r>
            <w:r>
              <w:rPr>
                <w:rStyle w:val="990"/>
                <w:b w:val="0"/>
                <w:bCs/>
                <w:iCs/>
                <w:sz w:val="24"/>
                <w:szCs w:val="24"/>
                <w:highlight w:val="white"/>
              </w:rPr>
              <w:t xml:space="preserve"> </w:t>
            </w:r>
            <w:r>
              <w:rPr>
                <w:rStyle w:val="990"/>
                <w:b w:val="0"/>
                <w:bCs/>
                <w:iCs/>
                <w:sz w:val="24"/>
                <w:szCs w:val="24"/>
                <w:highlight w:val="white"/>
              </w:rPr>
            </w:r>
            <w:r>
              <w:rPr>
                <w:rStyle w:val="990"/>
                <w:b w:val="0"/>
                <w:bCs/>
                <w:iCs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ffffff" w:themeFill="background1"/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НДТ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</w:rPr>
            </w:r>
          </w:p>
        </w:tc>
        <w:tc>
          <w:tcPr>
            <w:shd w:val="clear" w:color="auto" w:fill="ffffff" w:themeFill="background1"/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Нормативно-техническая документация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СП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Свод правил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МДС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методические документы в строительстве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ВСН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Ведомственные строительные нормы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СТО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Стандарт организации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РД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Рабочая документация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СНиП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Санитарные нормы и правила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СО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  <w:t xml:space="preserve">Стандарт организации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sz w:val="24"/>
                <w:szCs w:val="24"/>
              </w:rPr>
              <w:t xml:space="preserve">pdf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 xml:space="preserve">portable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document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format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формат файла электронного документа;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iCs/>
                <w:sz w:val="24"/>
                <w:szCs w:val="24"/>
              </w:rPr>
              <w:t xml:space="preserve">МТР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  <w:tc>
          <w:tcPr>
            <w:shd w:val="clear" w:color="auto" w:fill="ffffff" w:themeFill="background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98" w:type="dxa"/>
            <w:textDirection w:val="lrTb"/>
            <w:noWrap w:val="false"/>
          </w:tcPr>
          <w:p>
            <w:pPr>
              <w:jc w:val="both"/>
              <w:spacing w:before="120" w:after="120"/>
              <w:widowControl w:val="off"/>
              <w:tabs>
                <w:tab w:val="left" w:pos="426" w:leader="none"/>
              </w:tabs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pPr>
            <w:r>
              <w:rPr>
                <w:iCs/>
                <w:sz w:val="24"/>
                <w:szCs w:val="24"/>
              </w:rPr>
              <w:t xml:space="preserve">Материально – технические ресурсы</w:t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  <w:r>
              <w:rPr>
                <w:rStyle w:val="990"/>
                <w:b w:val="0"/>
                <w:bCs/>
                <w:i w:val="0"/>
                <w:iCs/>
                <w:sz w:val="24"/>
                <w:szCs w:val="24"/>
                <w:shd w:val="clear" w:color="auto" w:fill="ffffff" w:themeFill="background1"/>
              </w:rPr>
            </w:r>
          </w:p>
        </w:tc>
      </w:tr>
    </w:tbl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keepLines/>
        <w:keepNext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bookmarkStart w:id="4" w:name="_Toc46743506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1"/>
        <w:jc w:val="both"/>
      </w:pPr>
      <w:r/>
      <w:bookmarkStart w:id="5" w:name="_Toc54646397"/>
      <w:r>
        <w:t xml:space="preserve">Наименование закупаемой продукции</w:t>
      </w:r>
      <w:bookmarkEnd w:id="4"/>
      <w:r/>
      <w:bookmarkEnd w:id="5"/>
      <w:r/>
      <w:r/>
    </w:p>
    <w:p>
      <w:pPr>
        <w:jc w:val="both"/>
        <w:rPr>
          <w:rFonts w:eastAsiaTheme="minorEastAsia"/>
          <w:b/>
          <w:bCs/>
          <w:sz w:val="24"/>
          <w:szCs w:val="24"/>
        </w:rPr>
      </w:pPr>
      <w:r/>
      <w:bookmarkStart w:id="6" w:name="_Toc46743507"/>
      <w:r/>
      <w:bookmarkStart w:id="7" w:name="_Toc54646398"/>
      <w:r>
        <w:rPr>
          <w:rFonts w:eastAsiaTheme="minorEastAsia"/>
          <w:sz w:val="24"/>
          <w:szCs w:val="24"/>
        </w:rPr>
        <w:t xml:space="preserve">«ОКПД2 45.20.21.212 Выполнение работ по ремонту двигателей внутреннего сгорания самоходных машин и транспортных средств структурного подразделения "Хабаровская ТЭЦ-3" г. Хабаровск»</w:t>
      </w:r>
      <w:r>
        <w:rPr>
          <w:rFonts w:eastAsiaTheme="minorEastAsia"/>
          <w:b/>
          <w:bCs/>
          <w:sz w:val="24"/>
          <w:szCs w:val="24"/>
        </w:rPr>
      </w:r>
      <w:r>
        <w:rPr>
          <w:rFonts w:eastAsiaTheme="minorEastAsia"/>
          <w:b/>
          <w:bCs/>
          <w:sz w:val="24"/>
          <w:szCs w:val="24"/>
        </w:rPr>
      </w:r>
    </w:p>
    <w:p>
      <w:pPr>
        <w:pStyle w:val="751"/>
        <w:jc w:val="both"/>
      </w:pPr>
      <w:r>
        <w:t xml:space="preserve">Цель </w:t>
      </w:r>
      <w:bookmarkEnd w:id="6"/>
      <w:r>
        <w:t xml:space="preserve">выполнения работ</w:t>
      </w:r>
      <w:bookmarkEnd w:id="7"/>
      <w:r/>
      <w:r/>
    </w:p>
    <w:p>
      <w:pPr>
        <w:jc w:val="both"/>
        <w:widowControl w:val="off"/>
        <w:tabs>
          <w:tab w:val="left" w:pos="426" w:leader="none"/>
        </w:tabs>
        <w:rPr>
          <w:rFonts w:eastAsiaTheme="minorEastAsia"/>
          <w:bCs/>
          <w:sz w:val="24"/>
          <w:szCs w:val="24"/>
        </w:rPr>
      </w:pPr>
      <w:r/>
      <w:bookmarkStart w:id="8" w:name="_Toc54646400"/>
      <w:r>
        <w:rPr>
          <w:rFonts w:eastAsiaTheme="minorEastAsia"/>
          <w:bCs/>
          <w:sz w:val="24"/>
          <w:szCs w:val="24"/>
        </w:rPr>
        <w:t xml:space="preserve">Целью работы является устранение неисправностей, препятствующих эксплуатации двигателей, установленных на бульдозерах</w:t>
      </w:r>
      <w:r>
        <w:rPr>
          <w:rFonts w:eastAsiaTheme="minorEastAsia"/>
          <w:b/>
          <w:bCs/>
          <w:sz w:val="24"/>
          <w:szCs w:val="24"/>
        </w:rPr>
        <w:t xml:space="preserve"> </w:t>
      </w:r>
      <w:r>
        <w:rPr>
          <w:rFonts w:eastAsiaTheme="minorEastAsia"/>
          <w:bCs/>
          <w:sz w:val="24"/>
          <w:szCs w:val="24"/>
        </w:rPr>
        <w:t xml:space="preserve">Zoomlion</w:t>
      </w:r>
      <w:r>
        <w:rPr>
          <w:rFonts w:eastAsiaTheme="minorEastAsia"/>
          <w:bCs/>
          <w:sz w:val="24"/>
          <w:szCs w:val="24"/>
        </w:rPr>
        <w:t xml:space="preserve"> ZD320-3. </w:t>
      </w:r>
      <w:r>
        <w:rPr>
          <w:rFonts w:eastAsiaTheme="minorEastAsia"/>
          <w:bCs/>
          <w:sz w:val="24"/>
          <w:szCs w:val="24"/>
        </w:rPr>
      </w:r>
      <w:r>
        <w:rPr>
          <w:rFonts w:eastAsiaTheme="minorEastAsia"/>
          <w:bCs/>
          <w:sz w:val="24"/>
          <w:szCs w:val="24"/>
        </w:rPr>
      </w:r>
    </w:p>
    <w:p>
      <w:pPr>
        <w:pStyle w:val="751"/>
        <w:ind w:left="0" w:right="0" w:firstLine="708"/>
      </w:pPr>
      <w:r/>
      <w:bookmarkStart w:id="9" w:name="_Toc46743509"/>
      <w:r/>
      <w:bookmarkStart w:id="10" w:name="_Hlk49857604"/>
      <w:r/>
      <w:bookmarkStart w:id="11" w:name="_Toc54646401"/>
      <w:r>
        <w:t xml:space="preserve">Информация в отношении исполнения договора, </w:t>
      </w:r>
      <w:bookmarkStart w:id="12" w:name="_Hlk46492347"/>
      <w:r>
        <w:t xml:space="preserve">которая должна быть учтена при подготовке заявки </w:t>
      </w:r>
      <w:bookmarkEnd w:id="12"/>
      <w:r>
        <w:t xml:space="preserve">(в том числе перечень ресурсов, услуг и документов, предоставляемых заказчиком на этапе исполнения договора)</w:t>
      </w:r>
      <w:bookmarkEnd w:id="9"/>
      <w:r/>
      <w:bookmarkEnd w:id="10"/>
      <w:r>
        <w:t xml:space="preserve"> </w:t>
      </w:r>
      <w:r/>
    </w:p>
    <w:p>
      <w:pPr>
        <w:pStyle w:val="751"/>
        <w:numPr>
          <w:ilvl w:val="0"/>
          <w:numId w:val="0"/>
        </w:numPr>
        <w:ind w:firstLine="567"/>
        <w:jc w:val="both"/>
        <w:rPr>
          <w:b w:val="0"/>
        </w:rPr>
      </w:pPr>
      <w:r/>
      <w:bookmarkStart w:id="13" w:name="_Toc136356454"/>
      <w:r>
        <w:rPr>
          <w:b w:val="0"/>
        </w:rPr>
        <w:t xml:space="preserve">Работы выполняются на производственной площадке Подрядчика.</w:t>
      </w:r>
      <w:bookmarkEnd w:id="13"/>
      <w:r>
        <w:rPr>
          <w:b w:val="0"/>
        </w:rPr>
        <w:t xml:space="preserve"> Заказчик осуществляет погрузку двигателей на транспортное средство Подрядчика для транспортировки на производственную площадку Подрядчика. </w:t>
      </w:r>
      <w:r>
        <w:rPr>
          <w:b w:val="0"/>
        </w:rPr>
      </w:r>
      <w:r>
        <w:rPr>
          <w:b w:val="0"/>
        </w:rPr>
      </w:r>
    </w:p>
    <w:p>
      <w:pPr>
        <w:pStyle w:val="751"/>
        <w:numPr>
          <w:ilvl w:val="0"/>
          <w:numId w:val="0"/>
        </w:numPr>
        <w:ind w:firstLine="567"/>
        <w:jc w:val="both"/>
        <w:rPr>
          <w:b w:val="0"/>
        </w:rPr>
      </w:pPr>
      <w:r>
        <w:rPr>
          <w:b w:val="0"/>
        </w:rPr>
        <w:t xml:space="preserve">После ремонта Подрядчик осуществляет транспортировку двигателей на территорию Заказчика (таблица №1), разгрузка с транспортного средства Подрядчика осуществляется Заказчиком самостоятельно.</w:t>
      </w:r>
      <w:bookmarkEnd w:id="11"/>
      <w:r>
        <w:rPr>
          <w:b w:val="0"/>
        </w:rPr>
      </w:r>
      <w:r>
        <w:rPr>
          <w:b w:val="0"/>
        </w:rPr>
      </w:r>
    </w:p>
    <w:p>
      <w:pPr>
        <w:pStyle w:val="748"/>
        <w:numPr>
          <w:ilvl w:val="0"/>
          <w:numId w:val="0"/>
        </w:numPr>
        <w:jc w:val="both"/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 1. Перечень объектов заказчика</w:t>
      </w:r>
      <w:bookmarkEnd w:id="8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205" w:type="dxa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676"/>
        <w:gridCol w:w="2013"/>
        <w:gridCol w:w="3544"/>
        <w:gridCol w:w="2555"/>
        <w:gridCol w:w="1417"/>
      </w:tblGrid>
      <w:tr>
        <w:tblPrEx/>
        <w:trPr/>
        <w:tc>
          <w:tcPr>
            <w:tcW w:w="676" w:type="dxa"/>
            <w:vAlign w:val="center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№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  <w:highlight w:val="white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13" w:type="dxa"/>
            <w:vAlign w:val="center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объекта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5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  <w:highlight w:val="white"/>
              </w:rPr>
              <w:t xml:space="preserve">Расположение объекта </w:t>
            </w:r>
            <w:r>
              <w:rPr>
                <w:sz w:val="22"/>
                <w:szCs w:val="22"/>
                <w:highlight w:val="white"/>
              </w:rPr>
              <w:br/>
              <w:t xml:space="preserve">(место производства работ)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  <w:highlight w:val="white"/>
              </w:rPr>
              <w:t xml:space="preserve">Наименование основного средства </w:t>
            </w:r>
            <w:r>
              <w:rPr>
                <w:sz w:val="22"/>
                <w:szCs w:val="22"/>
                <w:highlight w:val="white"/>
              </w:rPr>
              <w:br/>
              <w:t xml:space="preserve">(в отношении которого выполняются работы)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  <w:highlight w:val="white"/>
              </w:rPr>
              <w:t xml:space="preserve">Примечания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663"/>
        </w:trPr>
        <w:tc>
          <w:tcPr>
            <w:tcW w:w="676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3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2013" w:type="dxa"/>
            <w:textDirection w:val="lrTb"/>
            <w:noWrap w:val="false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Двигатели внутреннего сгорания </w:t>
            </w:r>
            <w:r>
              <w:rPr>
                <w:sz w:val="22"/>
                <w:szCs w:val="22"/>
                <w:lang w:val="en-US"/>
              </w:rPr>
              <w:t xml:space="preserve">NTA</w:t>
            </w:r>
            <w:r>
              <w:rPr>
                <w:sz w:val="22"/>
                <w:szCs w:val="22"/>
              </w:rPr>
              <w:t xml:space="preserve"> 855-</w:t>
            </w:r>
            <w:r>
              <w:rPr>
                <w:sz w:val="22"/>
                <w:szCs w:val="22"/>
                <w:lang w:val="en-US"/>
              </w:rPr>
              <w:t xml:space="preserve">C</w:t>
            </w:r>
            <w:r>
              <w:rPr>
                <w:sz w:val="22"/>
                <w:szCs w:val="22"/>
              </w:rPr>
              <w:t xml:space="preserve">360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10 бульдозеров </w:t>
            </w:r>
            <w:r>
              <w:rPr>
                <w:sz w:val="22"/>
                <w:szCs w:val="22"/>
                <w:lang w:val="en-US"/>
              </w:rPr>
              <w:t xml:space="preserve">Zoomlion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ZD</w:t>
            </w:r>
            <w:r>
              <w:rPr>
                <w:sz w:val="22"/>
                <w:szCs w:val="22"/>
              </w:rPr>
              <w:t xml:space="preserve">320-3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W w:w="3544" w:type="dxa"/>
            <w:textDirection w:val="lrTb"/>
            <w:noWrap w:val="false"/>
          </w:tcPr>
          <w:p>
            <w:pPr>
              <w:jc w:val="both"/>
              <w:rPr>
                <w:rFonts w:eastAsia="Calibri"/>
                <w:i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Российская Федерация</w:t>
            </w:r>
            <w:r>
              <w:rPr>
                <w:sz w:val="22"/>
                <w:szCs w:val="22"/>
              </w:rPr>
              <w:t xml:space="preserve">, Хабаровский край, г. Хабаровск, шоссе Федоровское, 10 / Производственная база Подрядчика.</w:t>
            </w:r>
            <w:r>
              <w:rPr>
                <w:rFonts w:eastAsia="Calibri"/>
                <w:i/>
                <w:sz w:val="22"/>
                <w:szCs w:val="22"/>
              </w:rPr>
            </w:r>
            <w:r>
              <w:rPr>
                <w:rFonts w:eastAsia="Calibri"/>
                <w:i/>
                <w:sz w:val="22"/>
                <w:szCs w:val="22"/>
              </w:rPr>
            </w:r>
          </w:p>
        </w:tc>
        <w:tc>
          <w:tcPr>
            <w:tcW w:w="2555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Двигатель внутреннего сгорания </w:t>
            </w:r>
            <w:r>
              <w:rPr>
                <w:sz w:val="22"/>
                <w:szCs w:val="22"/>
                <w:lang w:val="en-US"/>
              </w:rPr>
              <w:t xml:space="preserve">NTA</w:t>
            </w:r>
            <w:r>
              <w:rPr>
                <w:sz w:val="22"/>
                <w:szCs w:val="22"/>
              </w:rPr>
              <w:t xml:space="preserve"> 855-</w:t>
            </w:r>
            <w:r>
              <w:rPr>
                <w:sz w:val="22"/>
                <w:szCs w:val="22"/>
                <w:lang w:val="en-US"/>
              </w:rPr>
              <w:t xml:space="preserve">C</w:t>
            </w:r>
            <w:r>
              <w:rPr>
                <w:sz w:val="22"/>
                <w:szCs w:val="22"/>
              </w:rPr>
              <w:t xml:space="preserve">360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10 бульдозера </w:t>
            </w:r>
            <w:r>
              <w:rPr>
                <w:sz w:val="22"/>
                <w:szCs w:val="22"/>
                <w:lang w:val="en-US"/>
              </w:rPr>
              <w:t xml:space="preserve">Zoomlion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ZD</w:t>
            </w:r>
            <w:r>
              <w:rPr>
                <w:sz w:val="22"/>
                <w:szCs w:val="22"/>
              </w:rPr>
              <w:t xml:space="preserve">320-3 инв.№ХГ000000000000000271</w:t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  <w:p>
            <w:pPr>
              <w:jc w:val="both"/>
              <w:rPr>
                <w:i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</w:rPr>
              <w:t xml:space="preserve">Двигатель внутреннего сгорания </w:t>
            </w:r>
            <w:r>
              <w:rPr>
                <w:sz w:val="22"/>
                <w:szCs w:val="22"/>
                <w:lang w:val="en-US"/>
              </w:rPr>
              <w:t xml:space="preserve">NTA</w:t>
            </w:r>
            <w:r>
              <w:rPr>
                <w:sz w:val="22"/>
                <w:szCs w:val="22"/>
              </w:rPr>
              <w:t xml:space="preserve"> 855-</w:t>
            </w:r>
            <w:r>
              <w:rPr>
                <w:sz w:val="22"/>
                <w:szCs w:val="22"/>
                <w:lang w:val="en-US"/>
              </w:rPr>
              <w:t xml:space="preserve">C</w:t>
            </w:r>
            <w:r>
              <w:rPr>
                <w:sz w:val="22"/>
                <w:szCs w:val="22"/>
              </w:rPr>
              <w:t xml:space="preserve">360</w:t>
            </w:r>
            <w:r>
              <w:rPr>
                <w:sz w:val="22"/>
                <w:szCs w:val="22"/>
                <w:lang w:val="en-US"/>
              </w:rPr>
              <w:t xml:space="preserve">S</w:t>
            </w:r>
            <w:r>
              <w:rPr>
                <w:sz w:val="22"/>
                <w:szCs w:val="22"/>
              </w:rPr>
              <w:t xml:space="preserve">10 бульдозера </w:t>
            </w:r>
            <w:r>
              <w:rPr>
                <w:sz w:val="22"/>
                <w:szCs w:val="22"/>
                <w:lang w:val="en-US"/>
              </w:rPr>
              <w:t xml:space="preserve">Zoomlion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 xml:space="preserve">ZD</w:t>
            </w:r>
            <w:r>
              <w:rPr>
                <w:sz w:val="22"/>
                <w:szCs w:val="22"/>
              </w:rPr>
              <w:t xml:space="preserve">320-3 инв.№ХГ000000000000000094</w:t>
            </w:r>
            <w:r>
              <w:rPr>
                <w:iCs/>
                <w:sz w:val="22"/>
                <w:szCs w:val="22"/>
                <w:highlight w:val="none"/>
              </w:rPr>
            </w:r>
            <w:r>
              <w:rPr>
                <w:iCs/>
                <w:sz w:val="22"/>
                <w:szCs w:val="22"/>
                <w:highlight w:val="none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  <w:r>
              <w:rPr>
                <w:iCs/>
                <w:sz w:val="22"/>
                <w:szCs w:val="22"/>
              </w:rPr>
            </w:r>
          </w:p>
        </w:tc>
      </w:tr>
    </w:tbl>
    <w:p>
      <w:pPr>
        <w:pStyle w:val="748"/>
        <w:contextualSpacing w:val="0"/>
        <w:ind w:left="357" w:hanging="357"/>
        <w:jc w:val="left"/>
        <w:keepLines w:val="0"/>
        <w:keepNext w:val="0"/>
        <w:spacing w:before="0" w:after="0" w:line="283" w:lineRule="exact"/>
        <w:widowControl w:val="off"/>
        <w:rPr>
          <w:iCs/>
          <w:caps/>
          <w:sz w:val="24"/>
          <w:szCs w:val="24"/>
        </w:rPr>
        <w:suppressLineNumbers w:val="0"/>
      </w:pPr>
      <w:r/>
      <w:bookmarkStart w:id="14" w:name="_Toc51339693"/>
      <w:r/>
      <w:bookmarkStart w:id="15" w:name="_Toc54646403"/>
      <w:r/>
      <w:bookmarkStart w:id="16" w:name="_Toc50125126"/>
      <w:r/>
      <w:bookmarkStart w:id="17" w:name="_Toc46743510"/>
      <w:r>
        <w:rPr>
          <w:iCs/>
          <w:sz w:val="24"/>
          <w:szCs w:val="24"/>
        </w:rPr>
        <w:t xml:space="preserve">Требования к продукции</w:t>
      </w:r>
      <w:bookmarkEnd w:id="14"/>
      <w:r/>
      <w:bookmarkEnd w:id="15"/>
      <w:r>
        <w:rPr>
          <w:iCs/>
          <w:caps/>
          <w:sz w:val="24"/>
          <w:szCs w:val="24"/>
        </w:rPr>
      </w:r>
      <w:r>
        <w:rPr>
          <w:iCs/>
          <w:caps/>
          <w:sz w:val="24"/>
          <w:szCs w:val="24"/>
        </w:rPr>
      </w:r>
    </w:p>
    <w:p>
      <w:pPr>
        <w:contextualSpacing w:val="0"/>
        <w:jc w:val="left"/>
        <w:keepLines w:val="0"/>
        <w:keepNext w:val="0"/>
        <w:widowControl w:val="off"/>
        <w:suppressLineNumbers w:val="0"/>
      </w:pPr>
      <w:r/>
      <w:r/>
    </w:p>
    <w:p>
      <w:pPr>
        <w:pStyle w:val="751"/>
        <w:contextualSpacing w:val="0"/>
        <w:jc w:val="left"/>
        <w:keepLines w:val="0"/>
        <w:keepNext w:val="0"/>
        <w:spacing w:before="0" w:after="0" w:line="283" w:lineRule="exact"/>
        <w:widowControl w:val="off"/>
        <w:suppressLineNumbers w:val="0"/>
      </w:pPr>
      <w:r/>
      <w:bookmarkStart w:id="18" w:name="_Toc54646404"/>
      <w:r>
        <w:t xml:space="preserve">Требования к объемам и срокам выполнения работ</w:t>
      </w:r>
      <w:bookmarkEnd w:id="18"/>
      <w:r/>
      <w:r/>
    </w:p>
    <w:p>
      <w:pPr>
        <w:pStyle w:val="750"/>
        <w:contextualSpacing w:val="0"/>
        <w:jc w:val="left"/>
        <w:keepLines w:val="0"/>
        <w:keepNext w:val="0"/>
        <w:spacing w:before="0" w:after="0" w:line="283" w:lineRule="exact"/>
        <w:widowControl w:val="off"/>
        <w:suppressLineNumbers w:val="0"/>
      </w:pPr>
      <w:r/>
      <w:bookmarkStart w:id="19" w:name="_Toc54646405"/>
      <w:r>
        <w:t xml:space="preserve">Требования к видам и объемам работ</w:t>
      </w:r>
      <w:bookmarkEnd w:id="19"/>
      <w:r/>
      <w:r/>
    </w:p>
    <w:p>
      <w:pPr>
        <w:contextualSpacing w:val="0"/>
        <w:jc w:val="left"/>
        <w:keepLines w:val="0"/>
        <w:keepNext w:val="0"/>
        <w:widowControl w:val="off"/>
        <w:suppressLineNumbers w:val="0"/>
      </w:pPr>
      <w:r/>
      <w:r/>
    </w:p>
    <w:p>
      <w:pPr>
        <w:pStyle w:val="748"/>
        <w:numPr>
          <w:ilvl w:val="0"/>
          <w:numId w:val="0"/>
        </w:numPr>
        <w:contextualSpacing w:val="0"/>
        <w:jc w:val="left"/>
        <w:keepLines w:val="0"/>
        <w:keepNext w:val="0"/>
        <w:spacing w:before="0" w:after="0" w:line="283" w:lineRule="exact"/>
        <w:widowControl w:val="off"/>
        <w:rPr>
          <w:sz w:val="24"/>
          <w:szCs w:val="24"/>
        </w:rPr>
        <w:suppressLineNumbers w:val="0"/>
      </w:pPr>
      <w:r/>
      <w:bookmarkStart w:id="20" w:name="_Toc51339695"/>
      <w:r/>
      <w:bookmarkStart w:id="21" w:name="_Toc54646406"/>
      <w:r>
        <w:rPr>
          <w:sz w:val="24"/>
          <w:szCs w:val="24"/>
        </w:rPr>
        <w:t xml:space="preserve">Таблица 2. Перечень </w:t>
      </w:r>
      <w:bookmarkEnd w:id="20"/>
      <w:r>
        <w:rPr>
          <w:sz w:val="24"/>
          <w:szCs w:val="24"/>
        </w:rPr>
        <w:t xml:space="preserve">и объем выполняемых работ</w:t>
      </w:r>
      <w:bookmarkEnd w:id="21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125" w:type="dxa"/>
        <w:tblInd w:w="2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48"/>
        <w:gridCol w:w="1985"/>
        <w:gridCol w:w="2441"/>
      </w:tblGrid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48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Наименование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Единица измерения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41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Количество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b w:val="0"/>
                <w:bCs w:val="0"/>
                <w:sz w:val="20"/>
                <w:szCs w:val="20"/>
              </w:rPr>
              <w:suppressLineNumbers w:val="0"/>
            </w:pPr>
            <w:r>
              <w:rPr>
                <w:b w:val="0"/>
                <w:bCs w:val="0"/>
                <w:sz w:val="20"/>
                <w:szCs w:val="20"/>
              </w:rPr>
              <w:t xml:space="preserve">1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tcW w:w="4848" w:type="dxa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b w:val="0"/>
                <w:bCs w:val="0"/>
                <w:sz w:val="20"/>
                <w:szCs w:val="20"/>
              </w:rPr>
              <w:suppressLineNumbers w:val="0"/>
            </w:pPr>
            <w:r>
              <w:rPr>
                <w:b w:val="0"/>
                <w:bCs w:val="0"/>
                <w:sz w:val="20"/>
                <w:szCs w:val="20"/>
              </w:rPr>
              <w:t xml:space="preserve">2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tcW w:w="1985" w:type="dxa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b w:val="0"/>
                <w:bCs w:val="0"/>
                <w:sz w:val="20"/>
                <w:szCs w:val="20"/>
              </w:rPr>
              <w:suppressLineNumbers w:val="0"/>
            </w:pPr>
            <w:r>
              <w:rPr>
                <w:b w:val="0"/>
                <w:bCs w:val="0"/>
                <w:sz w:val="20"/>
                <w:szCs w:val="20"/>
              </w:rPr>
              <w:t xml:space="preserve">3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tcW w:w="2441" w:type="dxa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b w:val="0"/>
                <w:bCs w:val="0"/>
                <w:sz w:val="20"/>
                <w:szCs w:val="20"/>
              </w:rPr>
              <w:suppressLineNumbers w:val="0"/>
            </w:pPr>
            <w:r>
              <w:rPr>
                <w:b w:val="0"/>
                <w:bCs w:val="0"/>
                <w:sz w:val="20"/>
                <w:szCs w:val="20"/>
              </w:rPr>
              <w:t xml:space="preserve">4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textDirection w:val="lrTb"/>
            <w:noWrap w:val="false"/>
          </w:tcPr>
          <w:p>
            <w:pPr>
              <w:pStyle w:val="959"/>
              <w:numPr>
                <w:ilvl w:val="0"/>
                <w:numId w:val="28"/>
              </w:numPr>
              <w:contextualSpacing w:val="0"/>
              <w:jc w:val="left"/>
              <w:keepLines w:val="0"/>
              <w:keepNext w:val="0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48" w:type="dxa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</w:rPr>
              <w:t xml:space="preserve">ОКПД2 45.20.21.212 Выполнение работ по ремонту двигателей внутреннего сгорания самоходных машин и транспортных средств структурного подразделения "Хабаровская ТЭЦ-3" г. Хабаровск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426" w:type="dxa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iCs/>
                <w:sz w:val="24"/>
                <w:szCs w:val="24"/>
              </w:rPr>
              <w:t xml:space="preserve">В соответствии с ведомостью объемов работ (Приложение №2 к настоящим Техническим требованиям)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750"/>
        <w:contextualSpacing w:val="0"/>
        <w:jc w:val="left"/>
        <w:keepLines w:val="0"/>
        <w:keepNext w:val="0"/>
        <w:spacing w:before="567" w:after="0" w:line="283" w:lineRule="exact"/>
        <w:widowControl w:val="off"/>
        <w:suppressLineNumbers w:val="0"/>
      </w:pPr>
      <w:r/>
      <w:bookmarkStart w:id="22" w:name="_Toc51339696"/>
      <w:r/>
      <w:bookmarkStart w:id="23" w:name="_Toc54646407"/>
      <w:r/>
      <w:bookmarkStart w:id="24" w:name="_Toc50125131"/>
      <w:r/>
      <w:bookmarkEnd w:id="16"/>
      <w:r/>
      <w:bookmarkEnd w:id="17"/>
      <w:r>
        <w:t xml:space="preserve">Требования </w:t>
      </w:r>
      <w:bookmarkEnd w:id="22"/>
      <w:r>
        <w:t xml:space="preserve">к срокам выполнения работ</w:t>
      </w:r>
      <w:bookmarkEnd w:id="23"/>
      <w:r/>
      <w:r/>
    </w:p>
    <w:p>
      <w:r/>
      <w:r/>
    </w:p>
    <w:p>
      <w:pPr>
        <w:pStyle w:val="748"/>
        <w:numPr>
          <w:ilvl w:val="0"/>
          <w:numId w:val="0"/>
        </w:numPr>
        <w:contextualSpacing w:val="0"/>
        <w:jc w:val="left"/>
        <w:keepLines w:val="0"/>
        <w:keepNext w:val="0"/>
        <w:spacing w:before="0" w:after="0" w:line="283" w:lineRule="exact"/>
        <w:widowControl w:val="off"/>
        <w:rPr>
          <w:sz w:val="24"/>
          <w:szCs w:val="24"/>
        </w:rPr>
        <w:suppressLineNumbers w:val="0"/>
      </w:pPr>
      <w:r/>
      <w:bookmarkStart w:id="25" w:name="_Toc50125127"/>
      <w:r/>
      <w:bookmarkStart w:id="26" w:name="_Toc51339697"/>
      <w:r/>
      <w:bookmarkStart w:id="27" w:name="_Toc54646408"/>
      <w:r>
        <w:rPr>
          <w:sz w:val="24"/>
          <w:szCs w:val="24"/>
        </w:rPr>
        <w:t xml:space="preserve">  Таблица 3. </w:t>
      </w:r>
      <w:bookmarkStart w:id="28" w:name="_Hlk50465284"/>
      <w:r>
        <w:rPr>
          <w:sz w:val="24"/>
          <w:szCs w:val="24"/>
        </w:rPr>
        <w:t xml:space="preserve">Требования по срокам </w:t>
      </w:r>
      <w:bookmarkEnd w:id="25"/>
      <w:r/>
      <w:bookmarkEnd w:id="26"/>
      <w:r/>
      <w:bookmarkEnd w:id="28"/>
      <w:r>
        <w:rPr>
          <w:sz w:val="24"/>
          <w:szCs w:val="24"/>
        </w:rPr>
        <w:t xml:space="preserve">выполнения работ</w:t>
      </w:r>
      <w:bookmarkEnd w:id="27"/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205" w:type="dxa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4681"/>
        <w:gridCol w:w="2551"/>
        <w:gridCol w:w="1984"/>
      </w:tblGrid>
      <w:tr>
        <w:tblPrEx/>
        <w:trPr/>
        <w:tc>
          <w:tcPr>
            <w:shd w:val="clear" w:color="auto" w:fill="auto"/>
            <w:tcW w:w="988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spacing w:before="0" w:after="0" w:line="283" w:lineRule="exact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№ п/п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681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spacing w:before="0" w:after="0" w:line="283" w:lineRule="exact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Наименование работ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spacing w:before="0" w:after="0" w:line="283" w:lineRule="exact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Требования к началу срока выполнения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keepLines w:val="0"/>
              <w:keepNext w:val="0"/>
              <w:spacing w:before="0" w:after="0" w:line="283" w:lineRule="exact"/>
              <w:widowControl w:val="off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Требования к окончанию срока выполнения работ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8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83" w:lineRule="exact"/>
              <w:rPr>
                <w:b w:val="0"/>
                <w:bCs w:val="0"/>
                <w:sz w:val="20"/>
                <w:szCs w:val="20"/>
              </w:rPr>
              <w:suppressLineNumbers w:val="0"/>
            </w:pPr>
            <w:r>
              <w:rPr>
                <w:b w:val="0"/>
                <w:bCs w:val="0"/>
                <w:sz w:val="20"/>
                <w:szCs w:val="20"/>
              </w:rPr>
              <w:t xml:space="preserve">1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shd w:val="clear" w:color="auto" w:fill="auto"/>
            <w:tcW w:w="4681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83" w:lineRule="exact"/>
              <w:rPr>
                <w:b w:val="0"/>
                <w:bCs w:val="0"/>
                <w:sz w:val="20"/>
                <w:szCs w:val="20"/>
              </w:rPr>
              <w:suppressLineNumbers w:val="0"/>
            </w:pPr>
            <w:r>
              <w:rPr>
                <w:b w:val="0"/>
                <w:bCs w:val="0"/>
                <w:sz w:val="20"/>
                <w:szCs w:val="20"/>
              </w:rPr>
              <w:t xml:space="preserve">2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pStyle w:val="988"/>
              <w:contextualSpacing w:val="0"/>
              <w:jc w:val="left"/>
              <w:keepNext w:val="0"/>
              <w:spacing w:before="0" w:after="0" w:line="283" w:lineRule="exact"/>
              <w:rPr>
                <w:b w:val="0"/>
                <w:bCs w:val="0"/>
                <w:sz w:val="20"/>
                <w:szCs w:val="20"/>
              </w:rPr>
              <w:suppressLineNumbers w:val="0"/>
            </w:pPr>
            <w:r>
              <w:rPr>
                <w:b w:val="0"/>
                <w:bCs w:val="0"/>
                <w:sz w:val="20"/>
                <w:szCs w:val="20"/>
              </w:rPr>
              <w:t xml:space="preserve">3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pStyle w:val="988"/>
              <w:contextualSpacing w:val="0"/>
              <w:jc w:val="left"/>
              <w:keepNext w:val="0"/>
              <w:spacing w:before="0" w:after="0" w:line="283" w:lineRule="exact"/>
              <w:rPr>
                <w:b w:val="0"/>
                <w:bCs w:val="0"/>
                <w:sz w:val="20"/>
                <w:szCs w:val="20"/>
              </w:rPr>
              <w:suppressLineNumbers w:val="0"/>
            </w:pPr>
            <w:r>
              <w:rPr>
                <w:b w:val="0"/>
                <w:bCs w:val="0"/>
                <w:sz w:val="20"/>
                <w:szCs w:val="20"/>
              </w:rPr>
              <w:t xml:space="preserve">4</w:t>
            </w:r>
            <w:r>
              <w:rPr>
                <w:b w:val="0"/>
                <w:bCs w:val="0"/>
                <w:sz w:val="20"/>
                <w:szCs w:val="20"/>
              </w:rPr>
            </w:r>
            <w:r>
              <w:rPr>
                <w:b w:val="0"/>
                <w:bCs w:val="0"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auto" w:fill="auto"/>
            <w:tcW w:w="988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83" w:lineRule="exac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681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83" w:lineRule="exac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ОКПД2 45.20.21.212 Выполнение работ по ремонту двигателей внутреннего сгорания самоходных машин и транспортных средств структурного подразделения "Хабаровская ТЭЦ-3" г. Хабаровск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83" w:lineRule="exact"/>
              <w:rPr>
                <w:rFonts w:eastAsia="Calibri"/>
                <w:sz w:val="24"/>
                <w:szCs w:val="24"/>
              </w:rPr>
              <w:suppressLineNumbers w:val="0"/>
            </w:pPr>
            <w:r>
              <w:rPr>
                <w:bCs/>
                <w:sz w:val="24"/>
                <w:szCs w:val="24"/>
              </w:rPr>
              <w:t xml:space="preserve">с даты</w:t>
            </w:r>
            <w:r>
              <w:rPr>
                <w:bCs/>
                <w:sz w:val="24"/>
                <w:szCs w:val="24"/>
              </w:rPr>
              <w:t xml:space="preserve">, следующей за датой</w:t>
            </w:r>
            <w:r>
              <w:rPr>
                <w:bCs/>
                <w:sz w:val="24"/>
                <w:szCs w:val="24"/>
              </w:rPr>
              <w:t xml:space="preserve"> заключения договора</w:t>
            </w:r>
            <w:r>
              <w:rPr>
                <w:rFonts w:eastAsia="Calibri"/>
                <w:sz w:val="24"/>
                <w:szCs w:val="24"/>
              </w:rPr>
            </w:r>
            <w:r>
              <w:rPr>
                <w:rFonts w:eastAsia="Calibri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83" w:lineRule="exact"/>
              <w:rPr>
                <w:sz w:val="24"/>
                <w:szCs w:val="24"/>
              </w:rPr>
              <w:suppressLineNumbers w:val="0"/>
            </w:pPr>
            <w:r>
              <w:rPr>
                <w:sz w:val="24"/>
                <w:szCs w:val="24"/>
              </w:rPr>
              <w:t xml:space="preserve">31.12.2026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Примечание: график может быть уточнен по </w:t>
      </w:r>
      <w:r>
        <w:rPr>
          <w:sz w:val="22"/>
          <w:szCs w:val="22"/>
        </w:rPr>
        <w:t xml:space="preserve">результатам проведённой закупочной процедуры (срок на транспортировку для выполнения работ по ремонту на производственную площадку Подрядчика/ возврат на территорию Заказчика (таблица №1) по окончании выполнения работ, включён в общий срок выполнения работ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both"/>
        <w:keepLines/>
        <w:keepNext/>
        <w:spacing w:before="240" w:after="60"/>
        <w:rPr>
          <w:rFonts w:eastAsia="Calibri"/>
          <w:b/>
          <w:sz w:val="24"/>
          <w:szCs w:val="24"/>
        </w:rPr>
        <w:outlineLvl w:val="0"/>
      </w:pP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  <w:r>
        <w:rPr>
          <w:rFonts w:eastAsia="Calibri"/>
          <w:b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rPr>
          <w:rFonts w:eastAsia="Calibri"/>
          <w:sz w:val="24"/>
          <w:szCs w:val="24"/>
        </w:rPr>
        <w:sectPr>
          <w:footnotePr/>
          <w:endnotePr/>
          <w:type w:val="nextPage"/>
          <w:pgSz w:w="11906" w:h="16838" w:orient="portrait"/>
          <w:pgMar w:top="850" w:right="851" w:bottom="992" w:left="993" w:header="680" w:footer="737" w:gutter="0"/>
          <w:cols w:num="1" w:sep="0" w:space="708" w:equalWidth="1"/>
          <w:docGrid w:linePitch="360"/>
          <w:titlePg/>
        </w:sectPr>
      </w:pP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  <w:r>
        <w:rPr>
          <w:rFonts w:eastAsia="Calibri"/>
          <w:sz w:val="24"/>
          <w:szCs w:val="24"/>
        </w:rPr>
      </w:r>
    </w:p>
    <w:p>
      <w:pPr>
        <w:pStyle w:val="751"/>
        <w:jc w:val="both"/>
      </w:pPr>
      <w:r/>
      <w:bookmarkStart w:id="29" w:name="_Toc51339698"/>
      <w:r/>
      <w:bookmarkStart w:id="30" w:name="_Toc54646410"/>
      <w:r>
        <w:t xml:space="preserve">Требования к качеству работ</w:t>
      </w:r>
      <w:r/>
    </w:p>
    <w:p>
      <w:pPr>
        <w:pStyle w:val="748"/>
        <w:numPr>
          <w:ilvl w:val="0"/>
          <w:numId w:val="0"/>
        </w:numPr>
        <w:jc w:val="both"/>
        <w:keepLines/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Таблица 4. Требования к </w:t>
      </w:r>
      <w:bookmarkEnd w:id="24"/>
      <w:r/>
      <w:bookmarkEnd w:id="29"/>
      <w:r>
        <w:rPr>
          <w:sz w:val="24"/>
          <w:szCs w:val="24"/>
        </w:rPr>
        <w:t xml:space="preserve">качеству работ</w:t>
      </w:r>
      <w:bookmarkEnd w:id="30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 работ/этапа работ (позиция № 1 Таблицы 2): </w:t>
      </w:r>
      <w:r>
        <w:rPr>
          <w:sz w:val="22"/>
          <w:szCs w:val="22"/>
        </w:rPr>
        <w:t xml:space="preserve">ОКПД2 45.20.21.212 Выполнение работ по ремонту двигателей внутреннего сгорания самоходных машин и транспортных средств структурного подразделения "Хабаровская ТЭЦ-3" г. Хабаровск "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tbl>
      <w:tblPr>
        <w:tblStyle w:val="916"/>
        <w:tblpPr w:horzAnchor="text" w:tblpXSpec="left" w:vertAnchor="text" w:tblpY="1" w:leftFromText="180" w:topFromText="0" w:rightFromText="180" w:bottomFromText="0"/>
        <w:tblW w:w="15269" w:type="dxa"/>
        <w:tblLayout w:type="fixed"/>
        <w:tblLook w:val="04A0" w:firstRow="1" w:lastRow="0" w:firstColumn="1" w:lastColumn="0" w:noHBand="0" w:noVBand="1"/>
      </w:tblPr>
      <w:tblGrid>
        <w:gridCol w:w="851"/>
        <w:gridCol w:w="2409"/>
        <w:gridCol w:w="7087"/>
        <w:gridCol w:w="2693"/>
        <w:gridCol w:w="2230"/>
      </w:tblGrid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№ п/п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Наименование параметра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tcW w:w="708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Требование заказчика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492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Способ подтверждения участником соответствия требованиям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409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7087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Согласие с требованием/ указание характеристик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tcW w:w="223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Предоставление подтверждающего документа или иной способ подтверждения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2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70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3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4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230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5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0"/>
                <w:numId w:val="8"/>
              </w:numPr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496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выполнению работ 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Участник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должен предоставить в заявке согласие выполнить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работы (оказать услуги), полностью соответствующие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настоящим техническим требованиям, по форме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widowControl w:val="off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Технического предложения, установленной в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Документации о закупке 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230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-//-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1"/>
                <w:numId w:val="8"/>
              </w:numPr>
              <w:ind w:left="-117" w:firstLine="142"/>
              <w:jc w:val="both"/>
              <w:spacing w:before="60" w:after="60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496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Общие требования к выполнению работ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spacing w:before="60" w:after="6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2"/>
                <w:numId w:val="8"/>
              </w:numPr>
              <w:ind w:hanging="1199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240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Соблюдение при выполнении работ норм и правил нормативно-технических документов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W w:w="7087" w:type="dxa"/>
            <w:textDirection w:val="lrTb"/>
            <w:noWrap w:val="false"/>
          </w:tcPr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При выполнении работ подрядчик должен руководствоваться следующими национальными, отраслевыми и корпоративными НТД: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- 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Положение об организации контроля и приемке выполненных работ на ремонтируемых объектах, объектах модернизации, реконструкции и технического перевооружения, 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утвержденный приказом № 555 от 29.11.2019 АО «ДГК»;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- Руководство по эксплуатации и техобслуживанию дизельных двигателей серии NTA, КТ, КТА производства CHONGQING-CUMMINS;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-  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W w:w="2230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1"/>
                <w:numId w:val="8"/>
              </w:numPr>
              <w:ind w:left="-117" w:firstLine="142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496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организации работ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416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2"/>
                <w:numId w:val="8"/>
              </w:numPr>
              <w:ind w:hanging="1199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Требования к организации процесса выполнения работ: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Работы выполняются на производственной площадке Подрядчика. Заказчик осуществляет погрузку двигателей на транспортное средство Подрядчика для </w:t>
            </w:r>
            <w:r>
              <w:rPr>
                <w:iCs/>
                <w:sz w:val="22"/>
                <w:szCs w:val="22"/>
                <w:highlight w:val="white"/>
              </w:rPr>
              <w:t xml:space="preserve">транспортировки на производственную площадку Подрядчика.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После ремонта Подрядчик осуществляет транспортировку двигателей на территорию Заказчика, разгрузка с транспортного средства Подрядчика осуществляется Заказчиком самостоятельно.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Изменения объемов работ, предусмотренных ведомостью планируемых работ, оформляются в соответстви</w:t>
            </w:r>
            <w:r>
              <w:rPr>
                <w:iCs/>
                <w:sz w:val="22"/>
                <w:szCs w:val="22"/>
                <w:highlight w:val="white"/>
              </w:rPr>
              <w:t xml:space="preserve">и с требованиями Правил ТО и Р (ведомостью дополнительных работ по ремонту и протоколом исключения работ из ведомости планируемых работ по ремонту), согласовываются с подрядчиками и утверждаются техническим руководителем структурного подразделения, ответст</w:t>
            </w:r>
            <w:r>
              <w:rPr>
                <w:iCs/>
                <w:sz w:val="22"/>
                <w:szCs w:val="22"/>
                <w:highlight w:val="white"/>
              </w:rPr>
              <w:t xml:space="preserve">венного за непосредственную эксплуатацию производственного объекта. Перечень, форма и сроки передачи ремонтной документации, передаваемой Заказчиком, ответственным за непосредственную эксплуатацию производственного объекта, определяется условиями договора.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41"/>
              </w:numPr>
              <w:contextualSpacing/>
              <w:ind w:left="0" w:firstLine="456"/>
              <w:jc w:val="both"/>
              <w:spacing w:after="60"/>
              <w:widowControl w:val="off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После проведения диагностики предоставляет на согласование Заказчику дефектную ведомость и уточненную ведомость работ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До начала выполнения Работ предоставить Заказчику 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Работ.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Подрядчик обязан обеспечить сохранность двигателя внутреннего сгорания Заказчика, находящегося на производственной базе Подрядчика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При передаче двигателя внутреннего сгорания в ремонт Стороны согласовывают </w:t>
            </w:r>
            <w:r>
              <w:rPr>
                <w:iCs/>
                <w:sz w:val="22"/>
                <w:szCs w:val="22"/>
                <w:highlight w:val="white"/>
              </w:rPr>
              <w:t xml:space="preserve">предварительный срок выполнения работ. Сроки выполнения работ определяются нормативами ремонтного центра Подрядчика, их сложностью и наличием на складе Подрядчика необходимых запасных частей и деталей.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Подрядчик принимает на себя обязанности по сбору, хранению и утилизации отходов, возникших при проведении ремонта двигателя внутреннего сгорания.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Представитель Заказчика имеет право наблюдать и контролировать процесс выполнения работ с соблюдением правил техники безопасности.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trHeight w:val="566"/>
        </w:trPr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2"/>
                <w:numId w:val="8"/>
              </w:numPr>
              <w:ind w:hanging="1199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Организационно-технические мероприятия по допуску персонала подрядчика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Допуск персонала подрядчика для передачи двигателей должен осуществляться в соответствии с Положением о допуске персонала строительно-монтажных организаций и командированного персонала к выполнению работ на объектах </w:t>
            </w:r>
            <w:r>
              <w:rPr>
                <w:rFonts w:eastAsia="Courier New"/>
                <w:sz w:val="22"/>
                <w:szCs w:val="22"/>
                <w:highlight w:val="white"/>
                <w:lang w:bidi="ru-RU"/>
              </w:rPr>
              <w:t xml:space="preserve">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АО «ДГК» 22.1-504-2025 (утверждено приказом АО «ДГК» №795 от 25.09.2025 г 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Инструкция о пропускном и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внутриобъектовом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 режимах на объектах АО «ДГК»; с обязательным оформлением необходимых нарядов-допусков.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1"/>
                <w:numId w:val="8"/>
              </w:numPr>
              <w:ind w:left="-117" w:firstLine="142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496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используемым МТР, контролю качества работ и МТР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2"/>
                <w:numId w:val="8"/>
              </w:numPr>
              <w:ind w:hanging="1199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Требования к используемым материально – техническим ресурсам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Все применяемые в процессе ремонта МТР должны быть новыми и ранее не использованными, без повреждений.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Перечень МТР Подрядчика, должен соответствовать технической документации на ремонт, предварительно согласован с Заказчиком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В случае, если в документации содержатся указания на товарные знаки в отношении МТР, использование которых осуществляется в ходе исполнения Договора, применительно к таким товарным знакам следует читать «или эквивалент»*.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Указания в доку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ментации на знаки обслуживания, фирменные наименования, патенты, полезные модели, промышленные образцы, наименование страны происхождения товара или наименование производителя носят информационный характер и не являются требованиями к применяемым товарам.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*Эквивалентная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 в том числе, по гарантийным срокам и срокам эксплуатации.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2"/>
                <w:numId w:val="8"/>
              </w:numPr>
              <w:ind w:hanging="1199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Контроль качества используемых материалов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Материально – технические ресурсы и инструменты должны иметь сертификаты, паспорта и другие документы, подтверждающие их качество.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При осуществлении Подрядчиком входного контроля качества материально – технических ресурсов, поступивших на место производства работ (производственная база Подрядчика), обязательно нали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чие и ведение журнала входного учета и контроля качества получаемых материалов. Отсутствие записи о приемке материалов и оборудовании в данном журнале дает основание Заказчику в отказе приемки выполненных работ с использованием соответствующих материалов.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2"/>
                <w:numId w:val="8"/>
              </w:numPr>
              <w:ind w:hanging="1199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Контроль качества работ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В соответствии с законом № 184-ФЗ «О техническом регулировании» Подрядчик принимает на себя добровольное обязательство о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 соблюдении требований правил, технических условий, ГОСТ, ПЭУ и других нормативных технических документов, действующих на момент заключения договора и добровольное обязательство о выполнении работ с качеством, соответствующим вышеперечисленным документам.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Руководители работ подрядных организаций, участвую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щие в производстве Работ, проводят оперативный контроль качества выполняемых ремонтных работ, проверяют соблюдение технологической дисциплины (выполнение требований технологической документации, качества применяемой оснастки, приспособлений и инструмента).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Заказчик вправе в любое время проверять ход и качество работы, выполняемой Подрядчиком, не вмешиваясь в его организационную деятельность.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  </w:t>
            </w:r>
            <w:r>
              <w:rPr>
                <w:sz w:val="22"/>
                <w:szCs w:val="22"/>
                <w:highlight w:val="white"/>
              </w:rPr>
              <w:t xml:space="preserve">Обкатка и испытание двигателя внутреннего сгорания по окончании производства ремонтных работ должны включать: холодную обкатку в течении 30 минут; горячую обкатку в течении 2 часов; контрольную приемку двигателя в присутствии представителя Заказчика 1 час.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1"/>
                <w:numId w:val="8"/>
              </w:numPr>
              <w:ind w:left="-117" w:firstLine="142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496" w:type="dxa"/>
            <w:vAlign w:val="center"/>
            <w:textDirection w:val="lrTb"/>
            <w:noWrap w:val="false"/>
          </w:tcPr>
          <w:p>
            <w:pPr>
              <w:jc w:val="both"/>
              <w:spacing w:before="60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безопасности работ и охране труда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2"/>
                <w:numId w:val="8"/>
              </w:numPr>
              <w:ind w:hanging="1199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b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Требования к безопасности выполняемых работ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Меры безопасности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СНиП 12-03-2001 «Безопасность труда в строительстве» Часть 1. Общие требования. Приняты и введены в действие Постановлением Госстроя РФ от 23.07.2001 г. №80;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959"/>
              <w:ind w:left="0"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2"/>
                <w:numId w:val="8"/>
              </w:numPr>
              <w:ind w:hanging="1199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Соблюдение требований к пожарной </w:t>
            </w:r>
            <w:r>
              <w:rPr>
                <w:sz w:val="22"/>
                <w:szCs w:val="22"/>
                <w:highlight w:val="white"/>
              </w:rPr>
              <w:t xml:space="preserve">безопасности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Меры пожарной безопасности при выполнении работ обеспечиваются как организационно-техническими, так и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техническими средствами защиты указанных в следующих нормативных документах: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Правилах противопожарного режима в Российской Федерации, утверждены Постановлением Правительства РФ от 16.09.2020 № 1479;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При выполнении работ дополнительно необходимо соблюдать требования объектовых (производственных) инструкций, пожарные и санитарные нормы, правила охраны труда, действующие на предприятии Заказчика.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iCs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Приказом по организации должно быть назначено лицо, ответственное за соблюдение требований пожарной безопасности в местах производства работ (Погрузка, разгрузка оборудования)</w:t>
            </w:r>
            <w:r>
              <w:rPr>
                <w:iCs/>
                <w:sz w:val="22"/>
                <w:szCs w:val="22"/>
                <w:highlight w:val="white"/>
              </w:rPr>
              <w:t xml:space="preserve">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Персональную ответственность за обеспечение пожарной безопасности несёт руководитель подрядной организации или лицо, его замещающее.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Место производства работ должно быть оснащено средствами пожаротушения.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2"/>
                <w:numId w:val="8"/>
              </w:numPr>
              <w:ind w:hanging="1199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Соблюдение требований к охране окружающей среды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При выполнении работ необходимо строго соблюдать требования защиты окружающей среды, сохранения её устойчивого равновесия и не нарушать условия землепользования, установленные законодательством об охране природы.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Отходы, мусор должны своевременно вывозиться для дальнейшей утилизации.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Мероприятия и работы по охране окружающей среды вести в соответствии: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44"/>
              </w:numPr>
              <w:ind w:left="0"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Федеральный закон от 10.01.2002 № 7-ФЗ «Об охране окружающей среды» (ред. от 02.07.21);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44"/>
              </w:numPr>
              <w:ind w:left="0"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Федеральный закон от 04.05.1999 № 96-ФЗ «Об охране атмосферного воздуха» (ред. от 11.06.2021);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44"/>
              </w:numPr>
              <w:ind w:left="0"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Водный кодекс Российской Федерации;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44"/>
              </w:numPr>
              <w:ind w:left="0"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СП 34.13330.2012 «Автомобильные дороги. Актуализированная редакция СНиП 2.05.02-85*»;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959"/>
              <w:ind w:left="0"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ОДН 218.5.016-2002 «Показатели и нормы экологической безопасности автомобильной дороги» - Распоряжение Минтранс РФ от 25.12.2020 №ИС-1147-р.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959"/>
              <w:ind w:left="0"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2"/>
                <w:numId w:val="8"/>
              </w:numPr>
              <w:ind w:hanging="1199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</w:r>
            <w:bookmarkStart w:id="31" w:name="_Toc129956749"/>
            <w:r>
              <w:rPr>
                <w:sz w:val="22"/>
                <w:szCs w:val="22"/>
                <w:highlight w:val="white"/>
              </w:rPr>
              <w:t xml:space="preserve">Соблюдение требований охраны труда</w:t>
            </w:r>
            <w:bookmarkEnd w:id="31"/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jc w:val="both"/>
              <w:spacing w:before="60"/>
              <w:widowControl w:val="off"/>
              <w:tabs>
                <w:tab w:val="left" w:pos="426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7087" w:type="dxa"/>
            <w:textDirection w:val="lrTb"/>
            <w:noWrap w:val="false"/>
          </w:tcPr>
          <w:p>
            <w:pPr>
              <w:ind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Меры по соблюдению требований охраны труда при выполнении работ обеспечиваются как организационно-техническими, так и техническими средствами защиты указанных в следующих нормативных документах: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43"/>
              </w:numPr>
              <w:ind w:left="0" w:firstLine="456"/>
              <w:jc w:val="both"/>
              <w:spacing w:after="60"/>
              <w:widowControl w:val="off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Правилах по охране труда при работе с инструментом и приспособлениями (утверждены приказом Министерства труда от 27.11.2020 № 835н);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43"/>
              </w:numPr>
              <w:contextualSpacing/>
              <w:ind w:left="0" w:firstLine="456"/>
              <w:jc w:val="both"/>
              <w:spacing w:after="60"/>
              <w:tabs>
                <w:tab w:val="left" w:pos="313" w:leader="none"/>
                <w:tab w:val="left" w:pos="413" w:leader="none"/>
              </w:tabs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Правила при погрузочно-разгрузочных работах и размещении грузов (утв. приказом Министерства труда и социальной защиты Российской Федерации от 28.10.2020г. №753н);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numPr>
                <w:ilvl w:val="0"/>
                <w:numId w:val="43"/>
              </w:numPr>
              <w:contextualSpacing/>
              <w:ind w:left="0" w:firstLine="456"/>
              <w:jc w:val="both"/>
              <w:spacing w:after="60"/>
              <w:tabs>
                <w:tab w:val="left" w:pos="313" w:leader="none"/>
                <w:tab w:val="left" w:pos="413" w:leader="none"/>
              </w:tabs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Правила при эксплуатации промышленного транспорта (напольный безрельсовый колесный транспорт) (утв. 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приказом Министерства труда и социальной защиты Российской Федерации от 18.11.2020г. №814н);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contextualSpacing/>
              <w:ind w:firstLine="456"/>
              <w:jc w:val="both"/>
              <w:spacing w:after="60"/>
              <w:tabs>
                <w:tab w:val="left" w:pos="313" w:leader="none"/>
                <w:tab w:val="left" w:pos="413" w:leader="none"/>
              </w:tabs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  <w:lang w:bidi="ru-RU"/>
              </w:rPr>
              <w:t xml:space="preserve">В случае, если какой-либо из указанных нормативных документов был отменен в связи с выпуском новой редакции стандарта в процессе проведения закупки и/или исполнения Договора, то необходимо применять нормативный документ, принятый в его развитие</w:t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  <w:p>
            <w:pPr>
              <w:pStyle w:val="959"/>
              <w:ind w:left="0" w:firstLine="456"/>
              <w:jc w:val="both"/>
              <w:spacing w:after="60"/>
              <w:rPr>
                <w:rFonts w:eastAsia="Courier New"/>
                <w:color w:val="000000"/>
                <w:sz w:val="22"/>
                <w:szCs w:val="22"/>
                <w:highlight w:val="white"/>
              </w:rPr>
            </w:pP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  <w:r>
              <w:rPr>
                <w:rFonts w:eastAsia="Courier New"/>
                <w:color w:val="000000"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1.5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496" w:type="dxa"/>
            <w:textDirection w:val="lrTb"/>
            <w:noWrap w:val="false"/>
          </w:tcPr>
          <w:p>
            <w:pPr>
              <w:pStyle w:val="959"/>
              <w:ind w:left="0"/>
              <w:jc w:val="both"/>
              <w:rPr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персоналу подрядчика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ind w:left="720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1.5.1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49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Подрядчик </w:t>
            </w:r>
            <w:r>
              <w:rPr>
                <w:rFonts w:eastAsia="Calibri"/>
                <w:sz w:val="22"/>
                <w:szCs w:val="22"/>
                <w:highlight w:val="white"/>
              </w:rPr>
              <w:t xml:space="preserve">должен иметь минимально необходимое для выполнения работ количество квалифицированного персонала </w:t>
            </w:r>
            <w:r>
              <w:rPr>
                <w:sz w:val="22"/>
                <w:szCs w:val="22"/>
                <w:highlight w:val="white"/>
              </w:rPr>
              <w:t xml:space="preserve">не имеющих медицинских противопоказаний к ук</w:t>
            </w:r>
            <w:r>
              <w:rPr>
                <w:sz w:val="22"/>
                <w:szCs w:val="22"/>
                <w:highlight w:val="white"/>
              </w:rPr>
              <w:t xml:space="preserve">азанной работе и допущенных в установленном распорядительными документами организации порядке к самостоятельной работе и оформленных в соответствии с Гражданским Кодексом Российской Федерации или привлекаемых по трудовым либо гражданско-правовым договорам.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720"/>
              <w:jc w:val="both"/>
              <w:tabs>
                <w:tab w:val="left" w:pos="1134" w:leader="none"/>
              </w:tabs>
              <w:rPr>
                <w:rFonts w:eastAsia="Calibri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Ремонт двигателя Заказчика выполняется</w:t>
            </w:r>
            <w:r>
              <w:rPr>
                <w:bCs/>
                <w:iCs/>
                <w:sz w:val="22"/>
                <w:szCs w:val="22"/>
                <w:highlight w:val="white"/>
              </w:rPr>
              <w:t xml:space="preserve"> силами и средствами Подрядчика с применением приспособлений, устройств, оборудования для ремонта данного типа двигателей, а также инструмента, который предназначен для данного вида деятельности.</w:t>
            </w:r>
            <w:r>
              <w:rPr>
                <w:rFonts w:eastAsia="Calibri"/>
                <w:sz w:val="22"/>
                <w:szCs w:val="22"/>
                <w:highlight w:val="white"/>
              </w:rPr>
            </w:r>
            <w:r>
              <w:rPr>
                <w:rFonts w:eastAsia="Calibri"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0"/>
                <w:numId w:val="8"/>
              </w:numPr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496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Требования к результатам работ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1"/>
                <w:numId w:val="8"/>
              </w:numPr>
              <w:ind w:left="-117" w:firstLine="142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496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Общие требования к результатам работ</w:t>
            </w:r>
            <w:r>
              <w:rPr>
                <w:b/>
                <w:sz w:val="22"/>
                <w:szCs w:val="22"/>
                <w:highlight w:val="white"/>
              </w:rPr>
            </w:r>
            <w:r>
              <w:rPr>
                <w:b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b/>
                <w:color w:val="ff0000"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Двигатель после ремонта должны соответствовать требованиям нормативно-технической документации на ремонт в течение гарантийного срока и обеспечить безотказную работу.</w:t>
            </w:r>
            <w:r>
              <w:rPr>
                <w:b/>
                <w:color w:val="ff0000"/>
                <w:sz w:val="22"/>
                <w:szCs w:val="22"/>
                <w:highlight w:val="white"/>
              </w:rPr>
            </w:r>
            <w:r>
              <w:rPr>
                <w:b/>
                <w:color w:val="ff0000"/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1"/>
                <w:numId w:val="8"/>
              </w:numPr>
              <w:ind w:left="-117" w:firstLine="142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496" w:type="dxa"/>
            <w:vAlign w:val="center"/>
            <w:textDirection w:val="lrTb"/>
            <w:noWrap w:val="false"/>
          </w:tcPr>
          <w:p>
            <w:pPr>
              <w:jc w:val="both"/>
              <w:rPr>
                <w:b/>
                <w:bCs/>
                <w:sz w:val="22"/>
                <w:szCs w:val="22"/>
                <w:highlight w:val="white"/>
              </w:rPr>
            </w:pPr>
            <w:r>
              <w:rPr>
                <w:b/>
                <w:bCs/>
                <w:sz w:val="22"/>
                <w:szCs w:val="22"/>
                <w:highlight w:val="white"/>
              </w:rPr>
              <w:t xml:space="preserve">Требования к порядку приемки результатов работ</w:t>
            </w:r>
            <w:r>
              <w:rPr>
                <w:b/>
                <w:bCs/>
                <w:sz w:val="22"/>
                <w:szCs w:val="22"/>
                <w:highlight w:val="white"/>
              </w:rPr>
            </w:r>
            <w:r>
              <w:rPr>
                <w:b/>
                <w:b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rStyle w:val="990"/>
                <w:b w:val="0"/>
                <w:i w:val="0"/>
                <w:sz w:val="22"/>
                <w:szCs w:val="22"/>
                <w:highlight w:val="white"/>
                <w:shd w:val="clear" w:color="auto" w:fill="auto"/>
              </w:rPr>
            </w:pPr>
            <w:r>
              <w:rPr>
                <w:rStyle w:val="990"/>
                <w:b w:val="0"/>
                <w:bCs/>
                <w:i w:val="0"/>
                <w:sz w:val="22"/>
                <w:szCs w:val="22"/>
                <w:highlight w:val="white"/>
                <w:shd w:val="clear" w:color="auto" w:fill="auto"/>
              </w:rPr>
              <w:t xml:space="preserve">Приёмка работ осуществляется </w:t>
            </w:r>
            <w:r>
              <w:rPr>
                <w:bCs/>
                <w:sz w:val="22"/>
                <w:szCs w:val="22"/>
                <w:highlight w:val="white"/>
              </w:rPr>
              <w:t xml:space="preserve">по результатам обкатки и испытаний двигателя (</w:t>
            </w:r>
            <w:r>
              <w:rPr>
                <w:sz w:val="22"/>
                <w:szCs w:val="22"/>
                <w:highlight w:val="white"/>
              </w:rPr>
              <w:t xml:space="preserve"> холодную обкатку в течении 30 минут; горячую обкатку в течении 2 часов; контрольную приемку двигателя в присутствии представителя Заказчика 1 час).</w:t>
            </w:r>
            <w:r>
              <w:rPr>
                <w:rStyle w:val="990"/>
                <w:b w:val="0"/>
                <w:i w:val="0"/>
                <w:sz w:val="22"/>
                <w:szCs w:val="22"/>
                <w:highlight w:val="white"/>
                <w:shd w:val="clear" w:color="auto" w:fill="auto"/>
              </w:rPr>
            </w:r>
            <w:r>
              <w:rPr>
                <w:rStyle w:val="990"/>
                <w:b w:val="0"/>
                <w:i w:val="0"/>
                <w:sz w:val="22"/>
                <w:szCs w:val="22"/>
                <w:highlight w:val="white"/>
                <w:shd w:val="clear" w:color="auto" w:fill="auto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textDirection w:val="lrTb"/>
            <w:noWrap w:val="false"/>
          </w:tcPr>
          <w:p>
            <w:pPr>
              <w:pStyle w:val="959"/>
              <w:numPr>
                <w:ilvl w:val="1"/>
                <w:numId w:val="8"/>
              </w:numPr>
              <w:ind w:left="-117" w:firstLine="142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tcW w:w="9496" w:type="dxa"/>
            <w:textDirection w:val="lrTb"/>
            <w:noWrap w:val="false"/>
          </w:tcPr>
          <w:p>
            <w:pPr>
              <w:jc w:val="both"/>
              <w:rPr>
                <w:iCs/>
                <w:sz w:val="22"/>
                <w:szCs w:val="22"/>
                <w:highlight w:val="white"/>
              </w:rPr>
            </w:pPr>
            <w:r>
              <w:rPr>
                <w:b/>
                <w:sz w:val="22"/>
                <w:szCs w:val="22"/>
                <w:highlight w:val="white"/>
              </w:rPr>
              <w:t xml:space="preserve">Требования к оформлению и составу документации</w:t>
            </w:r>
            <w:r>
              <w:rPr>
                <w:iCs/>
                <w:sz w:val="22"/>
                <w:szCs w:val="22"/>
                <w:highlight w:val="white"/>
              </w:rPr>
              <w:t xml:space="preserve"> 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Подрядчик одновременно с передачей актов приемки выполненных работ обязан оформить и передать Заказчику отчетную техническую сдаточную документацию в соответствии с перечнем, утвержденным Заказчиком:        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«Акт выявленных дефектов оборудования»;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«Протокол исключений из ведомости планируемых работ»;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«Ведомость выполненных работ»;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Технический Акт выполненных работ;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«а</w:t>
            </w:r>
            <w:r>
              <w:rPr>
                <w:sz w:val="22"/>
                <w:szCs w:val="22"/>
                <w:highlight w:val="white"/>
              </w:rPr>
              <w:t xml:space="preserve">кт о приёмке – передаче оборудования в монтаж» с отметкой из ремонта (ОС-15);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Протокол технического решения по выявленным, но не устранённым дефектам (при необходимости);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а</w:t>
            </w:r>
            <w:r>
              <w:rPr>
                <w:sz w:val="22"/>
                <w:szCs w:val="22"/>
                <w:highlight w:val="white"/>
              </w:rPr>
              <w:t xml:space="preserve">кты приемки работ из ремонта;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</w:rPr>
              <w:t xml:space="preserve">акт передачи замененных запасных частей</w:t>
            </w:r>
            <w:r>
              <w:rPr>
                <w:sz w:val="22"/>
                <w:szCs w:val="22"/>
              </w:rPr>
              <w:t xml:space="preserve">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сертификаты, подтверждающие качество и соответствие требованиям конструкторской и нормативно-технической документации материалов (форма завода – изготовителя);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счета-фактуры на материалы, закупаемые Подрядчиком для использования в процессе ремонта;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журнал работ формы КС6, специальные журналы работ (соответствующие видам выполняемых работ);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pStyle w:val="959"/>
              <w:numPr>
                <w:ilvl w:val="0"/>
                <w:numId w:val="27"/>
              </w:num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фото/видео материалы (при необходимости);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  <w:p>
            <w:pPr>
              <w:ind w:firstLine="511"/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iCs/>
                <w:sz w:val="22"/>
                <w:szCs w:val="22"/>
                <w:highlight w:val="white"/>
              </w:rPr>
            </w:pPr>
            <w:r>
              <w:rPr>
                <w:iCs/>
                <w:sz w:val="22"/>
                <w:szCs w:val="22"/>
                <w:highlight w:val="white"/>
              </w:rPr>
              <w:t xml:space="preserve">другие документы по усмотрению Сторон с учетом специфики Работ.</w:t>
            </w:r>
            <w:r>
              <w:rPr>
                <w:iCs/>
                <w:sz w:val="22"/>
                <w:szCs w:val="22"/>
                <w:highlight w:val="white"/>
              </w:rPr>
            </w:r>
            <w:r>
              <w:rPr>
                <w:iCs/>
                <w:sz w:val="22"/>
                <w:szCs w:val="22"/>
                <w:highlight w:val="white"/>
              </w:rPr>
            </w:r>
          </w:p>
          <w:p>
            <w:pPr>
              <w:ind w:firstLine="511"/>
              <w:jc w:val="both"/>
              <w:shd w:val="clear" w:color="auto" w:fill="ffffff"/>
              <w:tabs>
                <w:tab w:val="left" w:pos="709" w:leader="none"/>
                <w:tab w:val="left" w:pos="1560" w:leader="none"/>
              </w:tabs>
              <w:rPr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-видеоматериалы с фиксацией работы двигателя в период испытаний и показателей работы двигателя, направляются на электронный адрес начальника автотранспортного цеха СП «Хабаровская ТЭЦ-3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tcW w:w="2693" w:type="dxa"/>
            <w:vMerge w:val="continue"/>
            <w:textDirection w:val="lrTb"/>
            <w:noWrap w:val="false"/>
          </w:tcPr>
          <w:p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230" w:type="dxa"/>
            <w:vMerge w:val="continue"/>
            <w:textDirection w:val="lrTb"/>
            <w:noWrap w:val="false"/>
          </w:tcPr>
          <w:p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ind w:left="25"/>
              <w:jc w:val="both"/>
              <w:spacing w:before="60" w:after="60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3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4"/>
            <w:tcW w:w="14418" w:type="dxa"/>
            <w:textDirection w:val="lrTb"/>
            <w:noWrap w:val="false"/>
          </w:tcPr>
          <w:p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победителю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Участник, признанный победителем закупочно</w:t>
            </w:r>
            <w:r>
              <w:rPr>
                <w:sz w:val="22"/>
                <w:szCs w:val="22"/>
              </w:rPr>
              <w:t xml:space="preserve">й процедуры, в течение </w:t>
            </w:r>
            <w:r>
              <w:rPr>
                <w:sz w:val="22"/>
                <w:szCs w:val="22"/>
                <w:u w:val="single"/>
              </w:rPr>
              <w:t xml:space="preserve">5 (пяти) рабочих дней</w:t>
            </w:r>
            <w:r>
              <w:rPr>
                <w:sz w:val="22"/>
                <w:szCs w:val="22"/>
              </w:rPr>
              <w:t xml:space="preserve"> после размещения протокола подведения итогов закупки на сайте www.zakupki.gov.ru (до заключения договора), должен предоставить в адрес Заказчика на электронный адрес (</w:t>
            </w:r>
            <w:r>
              <w:rPr>
                <w:b/>
                <w:bCs/>
                <w:sz w:val="22"/>
                <w:szCs w:val="22"/>
              </w:rPr>
              <w:t xml:space="preserve">voronoy-ve@dgk.ru</w:t>
            </w:r>
            <w:r>
              <w:rPr>
                <w:sz w:val="22"/>
                <w:szCs w:val="22"/>
              </w:rPr>
              <w:t xml:space="preserve">) дополнительные документы.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случае не предоставления документов, указанных в данном пункте в установленный </w:t>
            </w:r>
            <w:r>
              <w:rPr>
                <w:sz w:val="22"/>
                <w:szCs w:val="22"/>
              </w:rPr>
              <w:t xml:space="preserve">срок, в соответствии с условиями Документации о закупке, Победитель </w:t>
            </w:r>
            <w:r>
              <w:rPr>
                <w:sz w:val="22"/>
                <w:szCs w:val="22"/>
                <w:u w:val="single"/>
              </w:rPr>
              <w:t xml:space="preserve">признается уклонившимся от заключения Договора и утрачивает статус Победителя</w:t>
            </w:r>
            <w:r>
              <w:rPr>
                <w:sz w:val="22"/>
                <w:szCs w:val="22"/>
              </w:rPr>
              <w:t xml:space="preserve">, а Закупочная комиссия имеет право выбрать в качестве Победителя иного Участника, занявшего следующее место в </w:t>
            </w:r>
            <w:r>
              <w:rPr>
                <w:sz w:val="22"/>
                <w:szCs w:val="22"/>
              </w:rPr>
              <w:t xml:space="preserve">ранжировке</w:t>
            </w:r>
            <w:r>
              <w:rPr>
                <w:sz w:val="22"/>
                <w:szCs w:val="22"/>
              </w:rPr>
              <w:t xml:space="preserve"> заявок после Победителя, из числа остальных допущенных заявок.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</w:tc>
      </w:tr>
      <w:tr>
        <w:tblPrEx/>
        <w:trPr/>
        <w:tc>
          <w:tcPr>
            <w:tcW w:w="851" w:type="dxa"/>
            <w:vAlign w:val="center"/>
            <w:vMerge w:val="continue"/>
            <w:textDirection w:val="lrTb"/>
            <w:noWrap w:val="false"/>
          </w:tcPr>
          <w:p>
            <w:pPr>
              <w:pStyle w:val="959"/>
              <w:ind w:left="25"/>
              <w:jc w:val="both"/>
              <w:spacing w:before="60" w:after="60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W w:w="9496" w:type="dxa"/>
            <w:textDirection w:val="lrTb"/>
            <w:noWrap w:val="false"/>
          </w:tcPr>
          <w:p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Требования к МТР Победителя: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 xml:space="preserve">Победитель должен иметь (на правах собственности / аренды /или ином законном праве владения) производственную площадку  (помещение), позволяющую проводить ремонт двигателей внутреннего сгорания самоходных машин и транспортных средств Заказчика.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tcW w:w="4922" w:type="dxa"/>
            <w:textDirection w:val="lrTb"/>
            <w:noWrap w:val="false"/>
          </w:tcPr>
          <w:p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Подтверждается:</w:t>
            </w:r>
            <w:r>
              <w:rPr>
                <w:b/>
                <w:sz w:val="22"/>
                <w:szCs w:val="22"/>
              </w:rPr>
            </w:r>
            <w:r>
              <w:rPr>
                <w:b/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1.1 </w:t>
            </w:r>
            <w:r>
              <w:rPr>
                <w:sz w:val="22"/>
                <w:szCs w:val="22"/>
              </w:rPr>
              <w:t xml:space="preserve">документ подтверждающий, государственную регистрацию права владения/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·</w:t>
            </w:r>
            <w:r>
              <w:rPr>
                <w:sz w:val="22"/>
                <w:szCs w:val="22"/>
              </w:rPr>
              <w:t xml:space="preserve">копия договора аренды/субаренды (в случае владения по договору аренды/субаренды)/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копия иного документа, подтверждающего законное право владения (в случае владения на ином основании).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tabs>
          <w:tab w:val="left" w:pos="2755" w:leader="none"/>
        </w:tabs>
        <w:rPr>
          <w:sz w:val="24"/>
          <w:szCs w:val="24"/>
        </w:rPr>
        <w:sectPr>
          <w:footnotePr/>
          <w:endnotePr/>
          <w:type w:val="nextPage"/>
          <w:pgSz w:w="16838" w:h="11906" w:orient="landscape"/>
          <w:pgMar w:top="851" w:right="567" w:bottom="851" w:left="992" w:header="680" w:footer="73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8"/>
        <w:ind w:left="357" w:right="0" w:firstLine="352"/>
        <w:jc w:val="both"/>
        <w:keepLines/>
        <w:rPr>
          <w:sz w:val="24"/>
          <w:szCs w:val="24"/>
        </w:rPr>
      </w:pPr>
      <w:r/>
      <w:bookmarkStart w:id="33" w:name="_Toc53393312"/>
      <w:r/>
      <w:bookmarkStart w:id="34" w:name="_Toc54646411"/>
      <w:r/>
      <w:bookmarkStart w:id="35" w:name="_Toc46743519"/>
      <w:r/>
      <w:bookmarkStart w:id="36" w:name="_Toc51339699"/>
      <w:r>
        <w:rPr>
          <w:sz w:val="24"/>
          <w:szCs w:val="24"/>
        </w:rPr>
        <w:t xml:space="preserve">Требования к документации по ценообразованию</w:t>
      </w:r>
      <w:bookmarkEnd w:id="33"/>
      <w:r>
        <w:rPr>
          <w:sz w:val="24"/>
          <w:szCs w:val="24"/>
        </w:rPr>
        <w:t xml:space="preserve"> на этапе закупки</w:t>
      </w:r>
      <w:bookmarkEnd w:id="34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1"/>
        <w:ind w:left="0" w:right="0" w:firstLine="709"/>
        <w:jc w:val="both"/>
        <w:rPr>
          <w:b w:val="0"/>
          <w:bCs w:val="0"/>
          <w:iCs/>
        </w:rPr>
      </w:pPr>
      <w:r>
        <w:rPr>
          <w:b w:val="0"/>
          <w:bCs w:val="0"/>
          <w:iCs/>
        </w:rPr>
        <w:t xml:space="preserve">В обоснование </w:t>
      </w:r>
      <w:r>
        <w:rPr>
          <w:b w:val="0"/>
          <w:bCs w:val="0"/>
          <w:iCs/>
          <w:lang w:bidi="ru-RU"/>
        </w:rPr>
        <w:t xml:space="preserve">стоимости заявки Участник должен предоставить Коммерческое предложение по форме (с учетом прилагаемой к ней инструкции по заполнению), приведенной в Документации о закупке с приложением «Расчета стоимости услуг» по форме приложения №</w:t>
      </w:r>
      <w:r>
        <w:rPr>
          <w:b w:val="0"/>
          <w:bCs w:val="0"/>
          <w:iCs/>
          <w:lang w:bidi="ru-RU"/>
        </w:rPr>
        <w:t xml:space="preserve">1</w:t>
      </w:r>
      <w:r>
        <w:rPr>
          <w:b w:val="0"/>
          <w:bCs w:val="0"/>
          <w:iCs/>
          <w:lang w:bidi="ru-RU"/>
        </w:rPr>
        <w:t xml:space="preserve"> к Техническим требованиям, в рамках (не превышающее) НМЦ лота</w:t>
      </w:r>
      <w:r>
        <w:rPr>
          <w:b w:val="0"/>
          <w:bCs w:val="0"/>
          <w:iCs/>
        </w:rPr>
        <w:t xml:space="preserve">. </w:t>
      </w:r>
      <w:r>
        <w:rPr>
          <w:b w:val="0"/>
          <w:bCs w:val="0"/>
          <w:iCs/>
        </w:rPr>
      </w:r>
      <w:r>
        <w:rPr>
          <w:b w:val="0"/>
          <w:bCs w:val="0"/>
          <w:iCs/>
        </w:rPr>
      </w:r>
    </w:p>
    <w:p>
      <w:pPr>
        <w:pStyle w:val="751"/>
        <w:ind w:left="0" w:right="0" w:firstLine="709"/>
        <w:jc w:val="both"/>
        <w:rPr>
          <w:b w:val="0"/>
          <w:iCs/>
        </w:rPr>
      </w:pPr>
      <w:r>
        <w:rPr>
          <w:b w:val="0"/>
          <w:iCs/>
        </w:rPr>
        <w:t xml:space="preserve">Дополнительные документы по ценообразованию (сметная документация) в состав заявки Участника не включаются.</w:t>
      </w:r>
      <w:r>
        <w:rPr>
          <w:b w:val="0"/>
          <w:iCs/>
        </w:rPr>
      </w:r>
      <w:r>
        <w:rPr>
          <w:b w:val="0"/>
          <w:iCs/>
        </w:rPr>
      </w:r>
    </w:p>
    <w:p>
      <w:pPr>
        <w:ind w:left="0" w:right="0" w:firstLine="709"/>
        <w:jc w:val="both"/>
        <w:spacing w:line="276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48"/>
        <w:ind w:left="0" w:right="0" w:firstLine="709"/>
        <w:jc w:val="both"/>
        <w:keepLines/>
        <w:rPr>
          <w:sz w:val="24"/>
          <w:szCs w:val="24"/>
        </w:rPr>
      </w:pPr>
      <w:r/>
      <w:bookmarkStart w:id="37" w:name="_Toc54646412"/>
      <w:r>
        <w:rPr>
          <w:sz w:val="24"/>
          <w:szCs w:val="24"/>
        </w:rPr>
        <w:t xml:space="preserve">Требования к документации по ценообразованию на этапе заключения (исполнения) договора</w:t>
      </w:r>
      <w:bookmarkEnd w:id="37"/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751"/>
        <w:numPr>
          <w:ilvl w:val="0"/>
          <w:numId w:val="0"/>
        </w:numPr>
        <w:ind w:left="0" w:right="0" w:firstLine="709"/>
        <w:jc w:val="both"/>
        <w:rPr>
          <w:b w:val="0"/>
          <w:bCs w:val="0"/>
          <w:iCs/>
        </w:rPr>
      </w:pPr>
      <w:r/>
      <w:bookmarkStart w:id="38" w:name="_Toc54646413"/>
      <w:r>
        <w:rPr>
          <w:b w:val="0"/>
          <w:bCs w:val="0"/>
          <w:iCs/>
        </w:rPr>
        <w:t xml:space="preserve">4.1.1. </w:t>
      </w:r>
      <w:r>
        <w:rPr>
          <w:b w:val="0"/>
          <w:bCs w:val="0"/>
          <w:iCs/>
        </w:rPr>
        <w:t xml:space="preserve">Цена Договора формируется в соответствии с Расчето</w:t>
      </w:r>
      <w:r>
        <w:rPr>
          <w:b w:val="0"/>
          <w:bCs w:val="0"/>
          <w:iCs/>
        </w:rPr>
        <w:t xml:space="preserve">м стоимости работ (приложение №1</w:t>
      </w:r>
      <w:r>
        <w:rPr>
          <w:b w:val="0"/>
          <w:bCs w:val="0"/>
          <w:iCs/>
        </w:rPr>
        <w:t xml:space="preserve">) На основании коммерческого предложения от участника</w:t>
      </w:r>
      <w:r>
        <w:rPr>
          <w:b w:val="0"/>
          <w:bCs w:val="0"/>
          <w:iCs/>
        </w:rPr>
        <w:t xml:space="preserve">.</w:t>
      </w:r>
      <w:r>
        <w:rPr>
          <w:b w:val="0"/>
          <w:bCs w:val="0"/>
          <w:iCs/>
        </w:rPr>
      </w:r>
      <w:r>
        <w:rPr>
          <w:b w:val="0"/>
          <w:bCs w:val="0"/>
          <w:iCs/>
        </w:rPr>
      </w:r>
    </w:p>
    <w:p>
      <w:r/>
      <w:r/>
    </w:p>
    <w:p>
      <w:pPr>
        <w:pStyle w:val="748"/>
        <w:jc w:val="both"/>
        <w:rPr>
          <w:caps/>
          <w:sz w:val="24"/>
          <w:szCs w:val="24"/>
        </w:rPr>
      </w:pPr>
      <w:r>
        <w:rPr>
          <w:sz w:val="24"/>
          <w:szCs w:val="24"/>
        </w:rPr>
        <w:t xml:space="preserve">Приложения</w:t>
      </w:r>
      <w:bookmarkEnd w:id="35"/>
      <w:r/>
      <w:bookmarkEnd w:id="36"/>
      <w:r/>
      <w:bookmarkEnd w:id="38"/>
      <w:r>
        <w:rPr>
          <w:caps/>
          <w:sz w:val="24"/>
          <w:szCs w:val="24"/>
        </w:rPr>
      </w:r>
      <w:r>
        <w:rPr>
          <w:caps/>
          <w:sz w:val="24"/>
          <w:szCs w:val="24"/>
        </w:rPr>
      </w:r>
    </w:p>
    <w:p>
      <w:pPr>
        <w:jc w:val="both"/>
        <w:spacing w:before="60"/>
        <w:widowControl w:val="off"/>
        <w:tabs>
          <w:tab w:val="left" w:pos="426" w:leader="none"/>
        </w:tabs>
        <w:rPr>
          <w:rStyle w:val="990"/>
          <w:b w:val="0"/>
          <w:bCs/>
          <w:iCs/>
          <w:sz w:val="24"/>
          <w:szCs w:val="24"/>
        </w:rPr>
      </w:pPr>
      <w:r>
        <w:rPr>
          <w:b w:val="0"/>
          <w:bCs/>
          <w:iCs/>
          <w:sz w:val="24"/>
          <w:szCs w:val="24"/>
        </w:rPr>
      </w:r>
      <w:r>
        <w:rPr>
          <w:rStyle w:val="990"/>
          <w:b w:val="0"/>
          <w:bCs/>
          <w:iCs/>
          <w:sz w:val="24"/>
          <w:szCs w:val="24"/>
        </w:rPr>
      </w:r>
      <w:r>
        <w:rPr>
          <w:rStyle w:val="990"/>
          <w:b w:val="0"/>
          <w:bCs/>
          <w:iCs/>
          <w:sz w:val="24"/>
          <w:szCs w:val="24"/>
        </w:rPr>
      </w:r>
    </w:p>
    <w:p>
      <w:pPr>
        <w:jc w:val="both"/>
        <w:spacing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1 - </w:t>
      </w:r>
      <w:r>
        <w:rPr>
          <w:bCs/>
          <w:sz w:val="24"/>
          <w:szCs w:val="24"/>
        </w:rPr>
        <w:t xml:space="preserve">Форма расчета стоимости работ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pacing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 2. Ведомость объемов работ;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120"/>
        <w:rPr>
          <w:sz w:val="24"/>
          <w:szCs w:val="24"/>
        </w:rPr>
      </w:pPr>
      <w:r>
        <w:rPr>
          <w:bCs/>
          <w:sz w:val="24"/>
          <w:szCs w:val="24"/>
        </w:rPr>
        <w:t xml:space="preserve">Приложение № 3. Ведомость материалов</w:t>
      </w:r>
      <w:r>
        <w:rPr>
          <w:bCs/>
          <w:sz w:val="24"/>
          <w:szCs w:val="24"/>
        </w:rPr>
        <w:t xml:space="preserve"> Подрядчика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after="120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  <w:r>
        <w:rPr>
          <w:bCs/>
          <w:i/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rPr>
          <w:rStyle w:val="990"/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</w:r>
      <w:r>
        <w:rPr>
          <w:rStyle w:val="990"/>
          <w:bCs/>
          <w:caps/>
          <w:sz w:val="24"/>
          <w:szCs w:val="24"/>
        </w:rPr>
      </w:r>
      <w:r>
        <w:rPr>
          <w:rStyle w:val="990"/>
          <w:bCs/>
          <w:caps/>
          <w:sz w:val="24"/>
          <w:szCs w:val="24"/>
        </w:rPr>
      </w:r>
    </w:p>
    <w:p>
      <w:pPr>
        <w:jc w:val="both"/>
        <w:rPr>
          <w:rStyle w:val="990"/>
          <w:bCs/>
          <w:caps/>
          <w:sz w:val="24"/>
          <w:szCs w:val="24"/>
        </w:rPr>
      </w:pPr>
      <w:r>
        <w:rPr>
          <w:bCs/>
          <w:caps/>
          <w:sz w:val="24"/>
          <w:szCs w:val="24"/>
        </w:rPr>
      </w:r>
      <w:r>
        <w:rPr>
          <w:rStyle w:val="990"/>
          <w:bCs/>
          <w:caps/>
          <w:sz w:val="24"/>
          <w:szCs w:val="24"/>
        </w:rPr>
      </w:r>
      <w:r>
        <w:rPr>
          <w:rStyle w:val="990"/>
          <w:bCs/>
          <w:caps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1" w:bottom="992" w:left="1134" w:header="680" w:footer="73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NewRomanPSMT">
    <w:panose1 w:val="02020603050405020304"/>
  </w:font>
  <w:font w:name="Courier New">
    <w:panose1 w:val="02070309020205020404"/>
  </w:font>
  <w:font w:name="Symbol">
    <w:panose1 w:val="05010000000000000000"/>
  </w:font>
  <w:font w:name="Wingdings">
    <w:panose1 w:val="05010000000000000000"/>
  </w:font>
  <w:font w:name="Noto Serif CJK SC">
    <w:panose1 w:val="020B0502040504020204"/>
  </w:font>
  <w:font w:name="Times New Roman">
    <w:panose1 w:val="02020603050405020304"/>
  </w:font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 Light (Заголовки)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0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71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06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pStyle w:val="90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07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  <w:rPr>
        <w:rFonts w:hint="default"/>
        <w:b w:val="0"/>
        <w:bCs w:val="0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8">
    <w:multiLevelType w:val="hybridMultilevel"/>
    <w:lvl w:ilvl="0">
      <w:start w:val="1"/>
      <w:numFmt w:val="decimal"/>
      <w:pStyle w:val="748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751"/>
      <w:isLgl w:val="false"/>
      <w:suff w:val="tab"/>
      <w:lvlText w:val="%1.%2."/>
      <w:lvlJc w:val="left"/>
      <w:pPr>
        <w:ind w:left="1140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pStyle w:val="750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5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7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40" w:hanging="360"/>
      </w:pPr>
      <w:rPr>
        <w:rFonts w:hint="default" w:ascii="TimesNewRomanPSMT" w:hAnsi="TimesNewRomanPSMT" w:cs="TimesNewRomanPSM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2160" w:hanging="720"/>
      </w:pPr>
      <w:rPr>
        <w:rFonts w:hint="default" w:ascii="TimesNewRomanPSMT" w:hAnsi="TimesNewRomanPSMT" w:cs="TimesNewRomanPSM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2520" w:hanging="720"/>
      </w:pPr>
      <w:rPr>
        <w:rFonts w:hint="default" w:ascii="TimesNewRomanPSMT" w:hAnsi="TimesNewRomanPSMT" w:cs="TimesNewRomanPSM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3240" w:hanging="1080"/>
      </w:pPr>
      <w:rPr>
        <w:rFonts w:hint="default" w:ascii="TimesNewRomanPSMT" w:hAnsi="TimesNewRomanPSMT" w:cs="TimesNewRomanPSM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3600" w:hanging="1080"/>
      </w:pPr>
      <w:rPr>
        <w:rFonts w:hint="default" w:ascii="TimesNewRomanPSMT" w:hAnsi="TimesNewRomanPSMT" w:cs="TimesNewRomanPSMT"/>
        <w:b w:val="0"/>
      </w:rPr>
    </w:lvl>
    <w:lvl w:ilvl="6">
      <w:start w:val="1"/>
      <w:numFmt w:val="decimal"/>
      <w:isLgl/>
      <w:suff w:val="tab"/>
      <w:lvlText w:val="%1.%2.%3.%4.%5.%6.%7."/>
      <w:lvlJc w:val="left"/>
      <w:pPr>
        <w:ind w:left="4320" w:hanging="1440"/>
      </w:pPr>
      <w:rPr>
        <w:rFonts w:hint="default" w:ascii="TimesNewRomanPSMT" w:hAnsi="TimesNewRomanPSMT" w:cs="TimesNewRomanPSMT"/>
        <w:b w:val="0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680" w:hanging="1440"/>
      </w:pPr>
      <w:rPr>
        <w:rFonts w:hint="default" w:ascii="TimesNewRomanPSMT" w:hAnsi="TimesNewRomanPSMT" w:cs="TimesNewRomanPSMT"/>
        <w:b w:val="0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400" w:hanging="1800"/>
      </w:pPr>
      <w:rPr>
        <w:rFonts w:hint="default" w:ascii="TimesNewRomanPSMT" w:hAnsi="TimesNewRomanPSMT" w:cs="TimesNewRomanPSMT"/>
        <w:b w:val="0"/>
      </w:rPr>
    </w:lvl>
  </w:abstractNum>
  <w:abstractNum w:abstractNumId="26">
    <w:multiLevelType w:val="hybridMultilevel"/>
    <w:lvl w:ilvl="0">
      <w:start w:val="4"/>
      <w:numFmt w:val="bullet"/>
      <w:pStyle w:val="974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975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973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pStyle w:val="1005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993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994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97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95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96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styleLink w:val="987"/>
    <w:lvl w:ilvl="0">
      <w:start w:val="1"/>
      <w:numFmt w:val="decimal"/>
      <w:pStyle w:val="987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multiLevelType w:val="hybridMultilevel"/>
    <w:styleLink w:val="983"/>
    <w:lvl w:ilvl="0">
      <w:start w:val="3"/>
      <w:numFmt w:val="decimal"/>
      <w:pStyle w:val="983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1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272" w:hanging="1440"/>
      </w:pPr>
      <w:rPr>
        <w:rFonts w:hint="default"/>
      </w:rPr>
    </w:lvl>
  </w:abstractNum>
  <w:num w:numId="1">
    <w:abstractNumId w:val="14"/>
  </w:num>
  <w:num w:numId="2">
    <w:abstractNumId w:val="26"/>
  </w:num>
  <w:num w:numId="3">
    <w:abstractNumId w:val="39"/>
  </w:num>
  <w:num w:numId="4">
    <w:abstractNumId w:val="18"/>
  </w:num>
  <w:num w:numId="5">
    <w:abstractNumId w:val="35"/>
  </w:num>
  <w:num w:numId="6">
    <w:abstractNumId w:val="29"/>
  </w:num>
  <w:num w:numId="7">
    <w:abstractNumId w:val="27"/>
  </w:num>
  <w:num w:numId="8">
    <w:abstractNumId w:val="17"/>
  </w:num>
  <w:num w:numId="9">
    <w:abstractNumId w:val="1"/>
  </w:num>
  <w:num w:numId="10">
    <w:abstractNumId w:val="40"/>
  </w:num>
  <w:num w:numId="11">
    <w:abstractNumId w:val="5"/>
  </w:num>
  <w:num w:numId="12">
    <w:abstractNumId w:val="13"/>
  </w:num>
  <w:num w:numId="13">
    <w:abstractNumId w:val="15"/>
  </w:num>
  <w:num w:numId="14">
    <w:abstractNumId w:val="10"/>
  </w:num>
  <w:num w:numId="15">
    <w:abstractNumId w:val="32"/>
  </w:num>
  <w:num w:numId="16">
    <w:abstractNumId w:val="30"/>
  </w:num>
  <w:num w:numId="17">
    <w:abstractNumId w:val="24"/>
  </w:num>
  <w:num w:numId="18">
    <w:abstractNumId w:val="37"/>
  </w:num>
  <w:num w:numId="19">
    <w:abstractNumId w:val="16"/>
  </w:num>
  <w:num w:numId="20">
    <w:abstractNumId w:val="0"/>
  </w:num>
  <w:num w:numId="21">
    <w:abstractNumId w:val="8"/>
  </w:num>
  <w:num w:numId="22">
    <w:abstractNumId w:val="19"/>
  </w:num>
  <w:num w:numId="23">
    <w:abstractNumId w:val="34"/>
  </w:num>
  <w:num w:numId="24">
    <w:abstractNumId w:val="20"/>
  </w:num>
  <w:num w:numId="25">
    <w:abstractNumId w:val="22"/>
  </w:num>
  <w:num w:numId="26">
    <w:abstractNumId w:val="23"/>
  </w:num>
  <w:num w:numId="27">
    <w:abstractNumId w:val="7"/>
  </w:num>
  <w:num w:numId="28">
    <w:abstractNumId w:val="33"/>
  </w:num>
  <w:num w:numId="29">
    <w:abstractNumId w:val="36"/>
  </w:num>
  <w:num w:numId="30">
    <w:abstractNumId w:val="31"/>
  </w:num>
  <w:num w:numId="31">
    <w:abstractNumId w:val="18"/>
  </w:num>
  <w:num w:numId="32">
    <w:abstractNumId w:val="18"/>
  </w:num>
  <w:num w:numId="33">
    <w:abstractNumId w:val="18"/>
  </w:num>
  <w:num w:numId="34">
    <w:abstractNumId w:val="18"/>
  </w:num>
  <w:num w:numId="35">
    <w:abstractNumId w:val="18"/>
  </w:num>
  <w:num w:numId="36">
    <w:abstractNumId w:val="18"/>
  </w:num>
  <w:num w:numId="37">
    <w:abstractNumId w:val="18"/>
  </w:num>
  <w:num w:numId="38">
    <w:abstractNumId w:val="41"/>
  </w:num>
  <w:num w:numId="39">
    <w:abstractNumId w:val="28"/>
  </w:num>
  <w:num w:numId="40">
    <w:abstractNumId w:val="6"/>
  </w:num>
  <w:num w:numId="41">
    <w:abstractNumId w:val="4"/>
  </w:num>
  <w:num w:numId="42">
    <w:abstractNumId w:val="2"/>
  </w:num>
  <w:num w:numId="43">
    <w:abstractNumId w:val="9"/>
  </w:num>
  <w:num w:numId="44">
    <w:abstractNumId w:val="38"/>
  </w:num>
  <w:num w:numId="45">
    <w:abstractNumId w:val="25"/>
  </w:num>
  <w:num w:numId="46">
    <w:abstractNumId w:val="21"/>
  </w:num>
  <w:num w:numId="47">
    <w:abstractNumId w:val="11"/>
  </w:num>
  <w:num w:numId="48">
    <w:abstractNumId w:val="12"/>
  </w:num>
  <w:num w:numId="49">
    <w:abstractNumId w:val="3"/>
  </w:num>
  <w:num w:numId="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6">
    <w:name w:val="Caption Char"/>
    <w:basedOn w:val="757"/>
    <w:link w:val="954"/>
    <w:uiPriority w:val="35"/>
    <w:rPr>
      <w:b/>
      <w:bCs/>
      <w:color w:val="4f81bd" w:themeColor="accent1"/>
      <w:sz w:val="18"/>
      <w:szCs w:val="18"/>
    </w:rPr>
  </w:style>
  <w:style w:type="paragraph" w:styleId="747" w:default="1">
    <w:name w:val="Normal"/>
    <w:qFormat/>
    <w:rPr>
      <w:sz w:val="28"/>
      <w:szCs w:val="28"/>
    </w:rPr>
  </w:style>
  <w:style w:type="paragraph" w:styleId="748">
    <w:name w:val="Heading 1"/>
    <w:basedOn w:val="750"/>
    <w:next w:val="747"/>
    <w:link w:val="946"/>
    <w:qFormat/>
    <w:pPr>
      <w:numPr>
        <w:ilvl w:val="0"/>
      </w:numPr>
      <w:outlineLvl w:val="0"/>
    </w:pPr>
    <w:rPr>
      <w:sz w:val="28"/>
      <w:szCs w:val="28"/>
    </w:rPr>
  </w:style>
  <w:style w:type="paragraph" w:styleId="749">
    <w:name w:val="Heading 2"/>
    <w:basedOn w:val="751"/>
    <w:next w:val="747"/>
    <w:link w:val="948"/>
    <w:qFormat/>
    <w:pPr>
      <w:outlineLvl w:val="1"/>
    </w:pPr>
  </w:style>
  <w:style w:type="paragraph" w:styleId="750">
    <w:name w:val="Heading 3"/>
    <w:basedOn w:val="747"/>
    <w:next w:val="747"/>
    <w:link w:val="949"/>
    <w:qFormat/>
    <w:pPr>
      <w:numPr>
        <w:ilvl w:val="2"/>
        <w:numId w:val="4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751">
    <w:name w:val="Heading 4"/>
    <w:basedOn w:val="750"/>
    <w:next w:val="747"/>
    <w:link w:val="950"/>
    <w:qFormat/>
    <w:pPr>
      <w:numPr>
        <w:ilvl w:val="1"/>
      </w:numPr>
      <w:outlineLvl w:val="3"/>
    </w:pPr>
    <w:rPr>
      <w:bCs/>
    </w:rPr>
  </w:style>
  <w:style w:type="paragraph" w:styleId="752">
    <w:name w:val="Heading 5"/>
    <w:basedOn w:val="747"/>
    <w:next w:val="747"/>
    <w:link w:val="951"/>
    <w:uiPriority w:val="9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53">
    <w:name w:val="Heading 6"/>
    <w:basedOn w:val="747"/>
    <w:next w:val="747"/>
    <w:link w:val="943"/>
    <w:uiPriority w:val="9"/>
    <w:qFormat/>
    <w:p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54">
    <w:name w:val="Heading 7"/>
    <w:basedOn w:val="747"/>
    <w:next w:val="747"/>
    <w:link w:val="944"/>
    <w:uiPriority w:val="9"/>
    <w:qFormat/>
    <w:p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755">
    <w:name w:val="Heading 8"/>
    <w:basedOn w:val="747"/>
    <w:next w:val="747"/>
    <w:link w:val="945"/>
    <w:uiPriority w:val="9"/>
    <w:qFormat/>
    <w:p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756">
    <w:name w:val="Heading 9"/>
    <w:basedOn w:val="747"/>
    <w:next w:val="747"/>
    <w:link w:val="952"/>
    <w:uiPriority w:val="9"/>
    <w:qFormat/>
    <w:pPr>
      <w:spacing w:before="240" w:after="60"/>
      <w:outlineLvl w:val="8"/>
    </w:pPr>
    <w:rPr>
      <w:rFonts w:ascii="Arial" w:hAnsi="Arial"/>
      <w:sz w:val="22"/>
      <w:szCs w:val="22"/>
    </w:rPr>
  </w:style>
  <w:style w:type="character" w:styleId="757" w:default="1">
    <w:name w:val="Default Paragraph Font"/>
    <w:uiPriority w:val="1"/>
    <w:semiHidden/>
    <w:unhideWhenUsed/>
  </w:style>
  <w:style w:type="table" w:styleId="75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9" w:default="1">
    <w:name w:val="No List"/>
    <w:uiPriority w:val="99"/>
    <w:semiHidden/>
    <w:unhideWhenUsed/>
  </w:style>
  <w:style w:type="character" w:styleId="760" w:customStyle="1">
    <w:name w:val="Title Char"/>
    <w:basedOn w:val="757"/>
    <w:uiPriority w:val="10"/>
    <w:rPr>
      <w:sz w:val="48"/>
      <w:szCs w:val="48"/>
    </w:rPr>
  </w:style>
  <w:style w:type="character" w:styleId="761" w:customStyle="1">
    <w:name w:val="Heading 1 Char"/>
    <w:basedOn w:val="757"/>
    <w:uiPriority w:val="9"/>
    <w:rPr>
      <w:rFonts w:ascii="Arial" w:hAnsi="Arial" w:eastAsia="Arial" w:cs="Arial"/>
      <w:sz w:val="40"/>
      <w:szCs w:val="40"/>
    </w:rPr>
  </w:style>
  <w:style w:type="character" w:styleId="762" w:customStyle="1">
    <w:name w:val="Heading 2 Char"/>
    <w:basedOn w:val="757"/>
    <w:uiPriority w:val="9"/>
    <w:rPr>
      <w:rFonts w:ascii="Arial" w:hAnsi="Arial" w:eastAsia="Arial" w:cs="Arial"/>
      <w:sz w:val="34"/>
    </w:rPr>
  </w:style>
  <w:style w:type="character" w:styleId="763" w:customStyle="1">
    <w:name w:val="Heading 3 Char"/>
    <w:basedOn w:val="757"/>
    <w:uiPriority w:val="9"/>
    <w:rPr>
      <w:rFonts w:ascii="Arial" w:hAnsi="Arial" w:eastAsia="Arial" w:cs="Arial"/>
      <w:sz w:val="30"/>
      <w:szCs w:val="30"/>
    </w:rPr>
  </w:style>
  <w:style w:type="character" w:styleId="764" w:customStyle="1">
    <w:name w:val="Heading 4 Char"/>
    <w:basedOn w:val="757"/>
    <w:uiPriority w:val="9"/>
    <w:rPr>
      <w:rFonts w:ascii="Arial" w:hAnsi="Arial" w:eastAsia="Arial" w:cs="Arial"/>
      <w:b/>
      <w:bCs/>
      <w:sz w:val="26"/>
      <w:szCs w:val="26"/>
    </w:rPr>
  </w:style>
  <w:style w:type="character" w:styleId="765" w:customStyle="1">
    <w:name w:val="Heading 5 Char"/>
    <w:basedOn w:val="757"/>
    <w:uiPriority w:val="9"/>
    <w:rPr>
      <w:rFonts w:ascii="Arial" w:hAnsi="Arial" w:eastAsia="Arial" w:cs="Arial"/>
      <w:b/>
      <w:bCs/>
      <w:sz w:val="24"/>
      <w:szCs w:val="24"/>
    </w:rPr>
  </w:style>
  <w:style w:type="character" w:styleId="766" w:customStyle="1">
    <w:name w:val="Heading 6 Char"/>
    <w:basedOn w:val="757"/>
    <w:uiPriority w:val="9"/>
    <w:rPr>
      <w:rFonts w:ascii="Arial" w:hAnsi="Arial" w:eastAsia="Arial" w:cs="Arial"/>
      <w:b/>
      <w:bCs/>
      <w:sz w:val="22"/>
      <w:szCs w:val="22"/>
    </w:rPr>
  </w:style>
  <w:style w:type="character" w:styleId="767" w:customStyle="1">
    <w:name w:val="Heading 7 Char"/>
    <w:basedOn w:val="7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8" w:customStyle="1">
    <w:name w:val="Heading 8 Char"/>
    <w:basedOn w:val="757"/>
    <w:uiPriority w:val="9"/>
    <w:rPr>
      <w:rFonts w:ascii="Arial" w:hAnsi="Arial" w:eastAsia="Arial" w:cs="Arial"/>
      <w:i/>
      <w:iCs/>
      <w:sz w:val="22"/>
      <w:szCs w:val="22"/>
    </w:rPr>
  </w:style>
  <w:style w:type="character" w:styleId="769" w:customStyle="1">
    <w:name w:val="Heading 9 Char"/>
    <w:basedOn w:val="757"/>
    <w:uiPriority w:val="9"/>
    <w:rPr>
      <w:rFonts w:ascii="Arial" w:hAnsi="Arial" w:eastAsia="Arial" w:cs="Arial"/>
      <w:i/>
      <w:iCs/>
      <w:sz w:val="21"/>
      <w:szCs w:val="21"/>
    </w:rPr>
  </w:style>
  <w:style w:type="paragraph" w:styleId="770">
    <w:name w:val="Title"/>
    <w:basedOn w:val="747"/>
    <w:next w:val="747"/>
    <w:link w:val="77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71" w:customStyle="1">
    <w:name w:val="Заголовок Знак"/>
    <w:basedOn w:val="757"/>
    <w:link w:val="770"/>
    <w:uiPriority w:val="10"/>
    <w:rPr>
      <w:sz w:val="48"/>
      <w:szCs w:val="48"/>
    </w:rPr>
  </w:style>
  <w:style w:type="character" w:styleId="772" w:customStyle="1">
    <w:name w:val="Subtitle Char"/>
    <w:basedOn w:val="757"/>
    <w:uiPriority w:val="11"/>
    <w:rPr>
      <w:sz w:val="24"/>
      <w:szCs w:val="24"/>
    </w:rPr>
  </w:style>
  <w:style w:type="character" w:styleId="773" w:customStyle="1">
    <w:name w:val="Quote Char"/>
    <w:uiPriority w:val="29"/>
    <w:rPr>
      <w:i/>
    </w:rPr>
  </w:style>
  <w:style w:type="character" w:styleId="774" w:customStyle="1">
    <w:name w:val="Intense Quote Char"/>
    <w:uiPriority w:val="30"/>
    <w:rPr>
      <w:i/>
    </w:rPr>
  </w:style>
  <w:style w:type="character" w:styleId="775" w:customStyle="1">
    <w:name w:val="Header Char"/>
    <w:basedOn w:val="757"/>
    <w:uiPriority w:val="99"/>
  </w:style>
  <w:style w:type="character" w:styleId="776" w:customStyle="1">
    <w:name w:val="Footer Char"/>
    <w:basedOn w:val="757"/>
    <w:uiPriority w:val="99"/>
  </w:style>
  <w:style w:type="character" w:styleId="777" w:customStyle="1">
    <w:name w:val="Название объекта Знак"/>
    <w:link w:val="954"/>
    <w:uiPriority w:val="99"/>
  </w:style>
  <w:style w:type="table" w:styleId="778" w:customStyle="1">
    <w:name w:val="Table Grid Light"/>
    <w:basedOn w:val="75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79">
    <w:name w:val="Plain Table 1"/>
    <w:basedOn w:val="75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0">
    <w:name w:val="Plain Table 2"/>
    <w:basedOn w:val="75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1">
    <w:name w:val="Plain Table 3"/>
    <w:basedOn w:val="75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2">
    <w:name w:val="Plain Table 4"/>
    <w:basedOn w:val="75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Plain Table 5"/>
    <w:basedOn w:val="75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4">
    <w:name w:val="Grid Table 1 Light"/>
    <w:basedOn w:val="75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Grid Table 1 Light - Accent 1"/>
    <w:basedOn w:val="75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Grid Table 1 Light - Accent 2"/>
    <w:basedOn w:val="75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Grid Table 1 Light - Accent 3"/>
    <w:basedOn w:val="75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Grid Table 1 Light - Accent 4"/>
    <w:basedOn w:val="75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Grid Table 1 Light - Accent 5"/>
    <w:basedOn w:val="75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Grid Table 1 Light - Accent 6"/>
    <w:basedOn w:val="75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2"/>
    <w:basedOn w:val="75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2 - Accent 1"/>
    <w:basedOn w:val="75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2 - Accent 2"/>
    <w:basedOn w:val="75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2 - Accent 3"/>
    <w:basedOn w:val="75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Grid Table 2 - Accent 4"/>
    <w:basedOn w:val="75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Grid Table 2 - Accent 5"/>
    <w:basedOn w:val="75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Grid Table 2 - Accent 6"/>
    <w:basedOn w:val="75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"/>
    <w:basedOn w:val="75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Grid Table 3 - Accent 1"/>
    <w:basedOn w:val="758"/>
    <w:uiPriority w:val="99"/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1" w:themeTint="34" w:fill="d8e2f3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Grid Table 3 - Accent 2"/>
    <w:basedOn w:val="758"/>
    <w:uiPriority w:val="99"/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 w:customStyle="1">
    <w:name w:val="Grid Table 3 - Accent 3"/>
    <w:basedOn w:val="758"/>
    <w:uiPriority w:val="99"/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 w:customStyle="1">
    <w:name w:val="Grid Table 3 - Accent 4"/>
    <w:basedOn w:val="758"/>
    <w:uiPriority w:val="99"/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 w:customStyle="1">
    <w:name w:val="Grid Table 3 - Accent 5"/>
    <w:basedOn w:val="758"/>
    <w:uiPriority w:val="99"/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3 - Accent 6"/>
    <w:basedOn w:val="758"/>
    <w:uiPriority w:val="99"/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4"/>
    <w:basedOn w:val="75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6" w:customStyle="1">
    <w:name w:val="Grid Table 4 - Accent 1"/>
    <w:basedOn w:val="758"/>
    <w:uiPriority w:val="5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themeColor="accent1" w:themeTint="EA" w:sz="4" w:space="0"/>
        </w:tcBorders>
      </w:tcPr>
    </w:tblStylePr>
  </w:style>
  <w:style w:type="table" w:styleId="807" w:customStyle="1">
    <w:name w:val="Grid Table 4 - Accent 2"/>
    <w:basedOn w:val="758"/>
    <w:uiPriority w:val="5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808" w:customStyle="1">
    <w:name w:val="Grid Table 4 - Accent 3"/>
    <w:basedOn w:val="758"/>
    <w:uiPriority w:val="5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809" w:customStyle="1">
    <w:name w:val="Grid Table 4 - Accent 4"/>
    <w:basedOn w:val="758"/>
    <w:uiPriority w:val="5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810" w:customStyle="1">
    <w:name w:val="Grid Table 4 - Accent 5"/>
    <w:basedOn w:val="758"/>
    <w:uiPriority w:val="5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</w:tcBorders>
      </w:tcPr>
    </w:tblStylePr>
  </w:style>
  <w:style w:type="table" w:styleId="811" w:customStyle="1">
    <w:name w:val="Grid Table 4 - Accent 6"/>
    <w:basedOn w:val="758"/>
    <w:uiPriority w:val="5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812">
    <w:name w:val="Grid Table 5 Dark"/>
    <w:basedOn w:val="7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13" w:customStyle="1">
    <w:name w:val="Grid Table 5 Dark- Accent 1"/>
    <w:basedOn w:val="7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blStylePr w:type="band1Horz">
      <w:tcPr>
        <w:shd w:val="clear" w:color="a9bee4" w:themeColor="accent1" w:themeTint="75" w:fill="a9bee4" w:themeFill="accent1" w:themeFillTint="75"/>
      </w:tcPr>
    </w:tblStylePr>
    <w:tblStylePr w:type="band1Vert">
      <w:tcPr>
        <w:shd w:val="clear" w:color="a9bee4" w:themeColor="accent1" w:themeTint="75" w:fill="a9bee4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</w:style>
  <w:style w:type="table" w:styleId="814" w:customStyle="1">
    <w:name w:val="Grid Table 5 Dark - Accent 2"/>
    <w:basedOn w:val="7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815" w:customStyle="1">
    <w:name w:val="Grid Table 5 Dark- Accent 4"/>
    <w:basedOn w:val="7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816" w:customStyle="1">
    <w:name w:val="Grid Table 5 Dark - Accent 5"/>
    <w:basedOn w:val="7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blStylePr w:type="band1Horz">
      <w:tcPr>
        <w:shd w:val="clear" w:color="b3d0eb" w:themeColor="accent5" w:themeTint="75" w:fill="b3d0eb" w:themeFill="accent5" w:themeFillTint="75"/>
      </w:tcPr>
    </w:tblStylePr>
    <w:tblStylePr w:type="band1Vert">
      <w:tcPr>
        <w:shd w:val="clear" w:color="b3d0eb" w:themeColor="accent5" w:themeTint="75" w:fill="b3d0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</w:style>
  <w:style w:type="table" w:styleId="817" w:customStyle="1">
    <w:name w:val="Grid Table 5 Dark - Accent 6"/>
    <w:basedOn w:val="7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818">
    <w:name w:val="Grid Table 6 Colorful"/>
    <w:basedOn w:val="75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19" w:customStyle="1">
    <w:name w:val="Grid Table 6 Colorful - Accent 1"/>
    <w:basedOn w:val="758"/>
    <w:uiPriority w:val="99"/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20" w:customStyle="1">
    <w:name w:val="Grid Table 6 Colorful - Accent 2"/>
    <w:basedOn w:val="75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21" w:customStyle="1">
    <w:name w:val="Grid Table 6 Colorful - Accent 3"/>
    <w:basedOn w:val="758"/>
    <w:uiPriority w:val="99"/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22" w:customStyle="1">
    <w:name w:val="Grid Table 6 Colorful - Accent 4"/>
    <w:basedOn w:val="75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23" w:customStyle="1">
    <w:name w:val="Grid Table 6 Colorful - Accent 5"/>
    <w:basedOn w:val="758"/>
    <w:uiPriority w:val="99"/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24" w:customStyle="1">
    <w:name w:val="Grid Table 6 Colorful - Accent 6"/>
    <w:basedOn w:val="758"/>
    <w:uiPriority w:val="99"/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25">
    <w:name w:val="Grid Table 7 Colorful"/>
    <w:basedOn w:val="75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6" w:customStyle="1">
    <w:name w:val="Grid Table 7 Colorful - Accent 1"/>
    <w:basedOn w:val="758"/>
    <w:uiPriority w:val="99"/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themeColor="accent1" w:themeTint="34" w:fill="d8e2f3" w:themeFill="accent1" w:themeFillTint="34"/>
      </w:tcPr>
    </w:tblStylePr>
    <w:tblStylePr w:type="band1Vert"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7" w:customStyle="1">
    <w:name w:val="Grid Table 7 Colorful - Accent 2"/>
    <w:basedOn w:val="758"/>
    <w:uiPriority w:val="99"/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Grid Table 7 Colorful - Accent 3"/>
    <w:basedOn w:val="758"/>
    <w:uiPriority w:val="99"/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Grid Table 7 Colorful - Accent 4"/>
    <w:basedOn w:val="758"/>
    <w:uiPriority w:val="99"/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Grid Table 7 Colorful - Accent 5"/>
    <w:basedOn w:val="758"/>
    <w:uiPriority w:val="99"/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themeColor="accent5" w:themeTint="34" w:fill="ddeaf6" w:themeFill="accent5" w:themeFillTint="34"/>
      </w:tcPr>
    </w:tblStylePr>
    <w:tblStylePr w:type="band1Vert"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Grid Table 7 Colorful - Accent 6"/>
    <w:basedOn w:val="758"/>
    <w:uiPriority w:val="99"/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>
    <w:name w:val="List Table 1 Light"/>
    <w:basedOn w:val="75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1 Light - Accent 1"/>
    <w:basedOn w:val="758"/>
    <w:uiPriority w:val="99"/>
    <w:tblPr>
      <w:tblStyleRowBandSize w:val="1"/>
      <w:tblStyleColBandSize w:val="1"/>
    </w:tblPr>
    <w:tblStylePr w:type="band1Horz"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1 Light - Accent 2"/>
    <w:basedOn w:val="758"/>
    <w:uiPriority w:val="99"/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st Table 1 Light - Accent 3"/>
    <w:basedOn w:val="758"/>
    <w:uiPriority w:val="99"/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 w:customStyle="1">
    <w:name w:val="List Table 1 Light - Accent 4"/>
    <w:basedOn w:val="758"/>
    <w:uiPriority w:val="99"/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1 Light - Accent 5"/>
    <w:basedOn w:val="758"/>
    <w:uiPriority w:val="99"/>
    <w:tblPr>
      <w:tblStyleRowBandSize w:val="1"/>
      <w:tblStyleColBandSize w:val="1"/>
    </w:tblPr>
    <w:tblStylePr w:type="band1Horz"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1 Light - Accent 6"/>
    <w:basedOn w:val="758"/>
    <w:uiPriority w:val="99"/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2"/>
    <w:basedOn w:val="75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40" w:customStyle="1">
    <w:name w:val="List Table 2 - Accent 1"/>
    <w:basedOn w:val="758"/>
    <w:uiPriority w:val="99"/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</w:style>
  <w:style w:type="table" w:styleId="841" w:customStyle="1">
    <w:name w:val="List Table 2 - Accent 2"/>
    <w:basedOn w:val="758"/>
    <w:uiPriority w:val="99"/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42" w:customStyle="1">
    <w:name w:val="List Table 2 - Accent 3"/>
    <w:basedOn w:val="758"/>
    <w:uiPriority w:val="99"/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43" w:customStyle="1">
    <w:name w:val="List Table 2 - Accent 4"/>
    <w:basedOn w:val="758"/>
    <w:uiPriority w:val="99"/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44" w:customStyle="1">
    <w:name w:val="List Table 2 - Accent 5"/>
    <w:basedOn w:val="758"/>
    <w:uiPriority w:val="99"/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</w:style>
  <w:style w:type="table" w:styleId="845" w:customStyle="1">
    <w:name w:val="List Table 2 - Accent 6"/>
    <w:basedOn w:val="758"/>
    <w:uiPriority w:val="99"/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46">
    <w:name w:val="List Table 3"/>
    <w:basedOn w:val="75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3 - Accent 1"/>
    <w:basedOn w:val="758"/>
    <w:uiPriority w:val="99"/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3 - Accent 2"/>
    <w:basedOn w:val="758"/>
    <w:uiPriority w:val="99"/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3 - Accent 3"/>
    <w:basedOn w:val="758"/>
    <w:uiPriority w:val="99"/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3 - Accent 4"/>
    <w:basedOn w:val="758"/>
    <w:uiPriority w:val="99"/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 w:customStyle="1">
    <w:name w:val="List Table 3 - Accent 5"/>
    <w:basedOn w:val="758"/>
    <w:uiPriority w:val="99"/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themeColor="accent5" w:themeTint="9A" w:fill="9bc2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 w:customStyle="1">
    <w:name w:val="List Table 3 - Accent 6"/>
    <w:basedOn w:val="758"/>
    <w:uiPriority w:val="99"/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"/>
    <w:basedOn w:val="75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 w:customStyle="1">
    <w:name w:val="List Table 4 - Accent 1"/>
    <w:basedOn w:val="758"/>
    <w:uiPriority w:val="99"/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1" w:themeTint="40" w:fill="cfdb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 w:customStyle="1">
    <w:name w:val="List Table 4 - Accent 2"/>
    <w:basedOn w:val="758"/>
    <w:uiPriority w:val="99"/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 w:customStyle="1">
    <w:name w:val="List Table 4 - Accent 3"/>
    <w:basedOn w:val="758"/>
    <w:uiPriority w:val="99"/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 w:customStyle="1">
    <w:name w:val="List Table 4 - Accent 4"/>
    <w:basedOn w:val="758"/>
    <w:uiPriority w:val="99"/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 w:customStyle="1">
    <w:name w:val="List Table 4 - Accent 5"/>
    <w:basedOn w:val="758"/>
    <w:uiPriority w:val="99"/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5" w:themeTint="40" w:fill="d5e5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 w:customStyle="1">
    <w:name w:val="List Table 4 - Accent 6"/>
    <w:basedOn w:val="758"/>
    <w:uiPriority w:val="99"/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5 Dark"/>
    <w:basedOn w:val="75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1" w:customStyle="1">
    <w:name w:val="List Table 5 Dark - Accent 1"/>
    <w:basedOn w:val="758"/>
    <w:uiPriority w:val="99"/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blStylePr w:type="band1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2" w:customStyle="1">
    <w:name w:val="List Table 5 Dark - Accent 2"/>
    <w:basedOn w:val="758"/>
    <w:uiPriority w:val="99"/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3" w:customStyle="1">
    <w:name w:val="List Table 5 Dark - Accent 3"/>
    <w:basedOn w:val="758"/>
    <w:uiPriority w:val="99"/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4" w:customStyle="1">
    <w:name w:val="List Table 5 Dark - Accent 4"/>
    <w:basedOn w:val="758"/>
    <w:uiPriority w:val="99"/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5" w:customStyle="1">
    <w:name w:val="List Table 5 Dark - Accent 5"/>
    <w:basedOn w:val="758"/>
    <w:uiPriority w:val="99"/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blStylePr w:type="band1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6" w:customStyle="1">
    <w:name w:val="List Table 5 Dark - Accent 6"/>
    <w:basedOn w:val="758"/>
    <w:uiPriority w:val="99"/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67">
    <w:name w:val="List Table 6 Colorful"/>
    <w:basedOn w:val="75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68" w:customStyle="1">
    <w:name w:val="List Table 6 Colorful - Accent 1"/>
    <w:basedOn w:val="758"/>
    <w:uiPriority w:val="99"/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themeColor="accent1" w:sz="4" w:space="0"/>
        </w:tcBorders>
      </w:tcPr>
    </w:tblStylePr>
  </w:style>
  <w:style w:type="table" w:styleId="869" w:customStyle="1">
    <w:name w:val="List Table 6 Colorful - Accent 2"/>
    <w:basedOn w:val="758"/>
    <w:uiPriority w:val="99"/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70" w:customStyle="1">
    <w:name w:val="List Table 6 Colorful - Accent 3"/>
    <w:basedOn w:val="758"/>
    <w:uiPriority w:val="99"/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71" w:customStyle="1">
    <w:name w:val="List Table 6 Colorful - Accent 4"/>
    <w:basedOn w:val="758"/>
    <w:uiPriority w:val="99"/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72" w:customStyle="1">
    <w:name w:val="List Table 6 Colorful - Accent 5"/>
    <w:basedOn w:val="758"/>
    <w:uiPriority w:val="99"/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themeColor="accent5" w:themeTint="9A" w:sz="4" w:space="0"/>
        </w:tcBorders>
      </w:tcPr>
    </w:tblStylePr>
  </w:style>
  <w:style w:type="table" w:styleId="873" w:customStyle="1">
    <w:name w:val="List Table 6 Colorful - Accent 6"/>
    <w:basedOn w:val="758"/>
    <w:uiPriority w:val="99"/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74">
    <w:name w:val="List Table 7 Colorful"/>
    <w:basedOn w:val="75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5" w:customStyle="1">
    <w:name w:val="List Table 7 Colorful - Accent 1"/>
    <w:basedOn w:val="758"/>
    <w:uiPriority w:val="99"/>
    <w:tblPr>
      <w:tblStyleRowBandSize w:val="1"/>
      <w:tblStyleColBandSize w:val="1"/>
      <w:tblBorders>
        <w:right w:val="single" w:color="4472C4" w:themeColor="accent1" w:sz="4" w:space="0"/>
      </w:tblBorders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themeColor="accent1" w:themeTint="40" w:fill="cfdbf0" w:themeFill="accent1" w:themeFillTint="40"/>
      </w:tcPr>
    </w:tblStylePr>
    <w:tblStylePr w:type="band1Vert"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6" w:customStyle="1">
    <w:name w:val="List Table 7 Colorful - Accent 2"/>
    <w:basedOn w:val="758"/>
    <w:uiPriority w:val="99"/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7" w:customStyle="1">
    <w:name w:val="List Table 7 Colorful - Accent 3"/>
    <w:basedOn w:val="758"/>
    <w:uiPriority w:val="99"/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8" w:customStyle="1">
    <w:name w:val="List Table 7 Colorful - Accent 4"/>
    <w:basedOn w:val="758"/>
    <w:uiPriority w:val="99"/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9" w:customStyle="1">
    <w:name w:val="List Table 7 Colorful - Accent 5"/>
    <w:basedOn w:val="758"/>
    <w:uiPriority w:val="99"/>
    <w:tblPr>
      <w:tblStyleRowBandSize w:val="1"/>
      <w:tblStyleColBandSize w:val="1"/>
      <w:tblBorders>
        <w:right w:val="single" w:color="9BC2E5" w:themeColor="accent5" w:themeTint="9A" w:sz="4" w:space="0"/>
      </w:tblBorders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themeColor="accent5" w:themeTint="40" w:fill="d5e5f4" w:themeFill="accent5" w:themeFillTint="40"/>
      </w:tcPr>
    </w:tblStylePr>
    <w:tblStylePr w:type="band1Vert"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0" w:customStyle="1">
    <w:name w:val="List Table 7 Colorful - Accent 6"/>
    <w:basedOn w:val="758"/>
    <w:uiPriority w:val="99"/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81" w:customStyle="1">
    <w:name w:val="Lined - Accent"/>
    <w:basedOn w:val="7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2" w:customStyle="1">
    <w:name w:val="Lined - Accent 1"/>
    <w:basedOn w:val="7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83" w:customStyle="1">
    <w:name w:val="Lined - Accent 2"/>
    <w:basedOn w:val="7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84" w:customStyle="1">
    <w:name w:val="Lined - Accent 3"/>
    <w:basedOn w:val="7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85" w:customStyle="1">
    <w:name w:val="Lined - Accent 4"/>
    <w:basedOn w:val="7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86" w:customStyle="1">
    <w:name w:val="Lined - Accent 5"/>
    <w:basedOn w:val="7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87" w:customStyle="1">
    <w:name w:val="Lined - Accent 6"/>
    <w:basedOn w:val="75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88" w:customStyle="1">
    <w:name w:val="Bordered &amp; Lined - Accent"/>
    <w:basedOn w:val="75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89" w:customStyle="1">
    <w:name w:val="Bordered &amp; Lined - Accent 1"/>
    <w:basedOn w:val="758"/>
    <w:uiPriority w:val="99"/>
    <w:rPr>
      <w:color w:val="404040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themeColor="accent1" w:themeTint="50" w:fill="c4d2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themeColor="accent1" w:themeTint="EA" w:fill="537dc8" w:themeFill="accent1" w:themeFillTint="EA"/>
      </w:tcPr>
    </w:tblStylePr>
  </w:style>
  <w:style w:type="table" w:styleId="890" w:customStyle="1">
    <w:name w:val="Bordered &amp; Lined - Accent 2"/>
    <w:basedOn w:val="758"/>
    <w:uiPriority w:val="99"/>
    <w:rPr>
      <w:color w:val="404040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91" w:customStyle="1">
    <w:name w:val="Bordered &amp; Lined - Accent 3"/>
    <w:basedOn w:val="758"/>
    <w:uiPriority w:val="99"/>
    <w:rPr>
      <w:color w:val="404040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92" w:customStyle="1">
    <w:name w:val="Bordered &amp; Lined - Accent 4"/>
    <w:basedOn w:val="758"/>
    <w:uiPriority w:val="99"/>
    <w:rPr>
      <w:color w:val="404040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93" w:customStyle="1">
    <w:name w:val="Bordered &amp; Lined - Accent 5"/>
    <w:basedOn w:val="758"/>
    <w:uiPriority w:val="99"/>
    <w:rPr>
      <w:color w:val="404040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themeColor="accent5" w:themeTint="34" w:fill="ddea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themeColor="accent5" w:fill="5b9bd5" w:themeFill="accent5"/>
      </w:tcPr>
    </w:tblStylePr>
  </w:style>
  <w:style w:type="table" w:styleId="894" w:customStyle="1">
    <w:name w:val="Bordered &amp; Lined - Accent 6"/>
    <w:basedOn w:val="758"/>
    <w:uiPriority w:val="99"/>
    <w:rPr>
      <w:color w:val="404040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95" w:customStyle="1">
    <w:name w:val="Bordered"/>
    <w:basedOn w:val="75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96" w:customStyle="1">
    <w:name w:val="Bordered - Accent 1"/>
    <w:basedOn w:val="758"/>
    <w:uiPriority w:val="99"/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themeColor="accent1" w:sz="12" w:space="0"/>
        </w:tcBorders>
      </w:tcPr>
    </w:tblStylePr>
  </w:style>
  <w:style w:type="table" w:styleId="897" w:customStyle="1">
    <w:name w:val="Bordered - Accent 2"/>
    <w:basedOn w:val="758"/>
    <w:uiPriority w:val="99"/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98" w:customStyle="1">
    <w:name w:val="Bordered - Accent 3"/>
    <w:basedOn w:val="758"/>
    <w:uiPriority w:val="99"/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99" w:customStyle="1">
    <w:name w:val="Bordered - Accent 4"/>
    <w:basedOn w:val="758"/>
    <w:uiPriority w:val="99"/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900" w:customStyle="1">
    <w:name w:val="Bordered - Accent 5"/>
    <w:basedOn w:val="758"/>
    <w:uiPriority w:val="99"/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themeColor="accent5" w:themeTint="9A" w:sz="12" w:space="0"/>
        </w:tcBorders>
      </w:tcPr>
    </w:tblStylePr>
  </w:style>
  <w:style w:type="table" w:styleId="901" w:customStyle="1">
    <w:name w:val="Bordered - Accent 6"/>
    <w:basedOn w:val="758"/>
    <w:uiPriority w:val="99"/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902" w:customStyle="1">
    <w:name w:val="Footnote Text Char"/>
    <w:uiPriority w:val="99"/>
    <w:rPr>
      <w:sz w:val="18"/>
    </w:rPr>
  </w:style>
  <w:style w:type="character" w:styleId="903" w:customStyle="1">
    <w:name w:val="Endnote Text Char"/>
    <w:uiPriority w:val="99"/>
    <w:rPr>
      <w:sz w:val="20"/>
    </w:rPr>
  </w:style>
  <w:style w:type="paragraph" w:styleId="904">
    <w:name w:val="table of figures"/>
    <w:basedOn w:val="747"/>
    <w:next w:val="747"/>
    <w:uiPriority w:val="99"/>
    <w:unhideWhenUsed/>
  </w:style>
  <w:style w:type="paragraph" w:styleId="905" w:customStyle="1">
    <w:name w:val="Название раздела инструкции"/>
    <w:basedOn w:val="747"/>
    <w:pPr>
      <w:jc w:val="center"/>
    </w:pPr>
    <w:rPr>
      <w:b/>
    </w:rPr>
  </w:style>
  <w:style w:type="paragraph" w:styleId="906" w:customStyle="1">
    <w:name w:val="Раздел положения"/>
    <w:basedOn w:val="747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07" w:customStyle="1">
    <w:name w:val="Подраздел раздела положения"/>
    <w:basedOn w:val="747"/>
    <w:pPr>
      <w:numPr>
        <w:ilvl w:val="1"/>
        <w:numId w:val="1"/>
      </w:numPr>
      <w:jc w:val="both"/>
      <w:spacing w:before="80" w:after="80"/>
    </w:pPr>
  </w:style>
  <w:style w:type="paragraph" w:styleId="908">
    <w:name w:val="footnote text"/>
    <w:basedOn w:val="747"/>
    <w:link w:val="982"/>
    <w:uiPriority w:val="99"/>
    <w:rPr>
      <w:sz w:val="20"/>
      <w:szCs w:val="20"/>
    </w:rPr>
  </w:style>
  <w:style w:type="character" w:styleId="909">
    <w:name w:val="footnote reference"/>
    <w:rPr>
      <w:vertAlign w:val="superscript"/>
    </w:rPr>
  </w:style>
  <w:style w:type="paragraph" w:styleId="910" w:customStyle="1">
    <w:name w:val="Шапка 1"/>
    <w:basedOn w:val="747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11" w:customStyle="1">
    <w:name w:val="Шапка 2"/>
    <w:basedOn w:val="747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12" w:customStyle="1">
    <w:name w:val="Шапка 3"/>
    <w:basedOn w:val="747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13" w:customStyle="1">
    <w:name w:val="Название1"/>
    <w:basedOn w:val="747"/>
    <w:link w:val="955"/>
    <w:uiPriority w:val="10"/>
    <w:qFormat/>
    <w:pPr>
      <w:jc w:val="center"/>
    </w:pPr>
    <w:rPr>
      <w:szCs w:val="20"/>
    </w:rPr>
  </w:style>
  <w:style w:type="paragraph" w:styleId="914">
    <w:name w:val="Header"/>
    <w:basedOn w:val="747"/>
    <w:link w:val="999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15">
    <w:name w:val="Body Text Indent"/>
    <w:basedOn w:val="747"/>
    <w:pPr>
      <w:ind w:left="360"/>
    </w:pPr>
    <w:rPr>
      <w:sz w:val="24"/>
      <w:szCs w:val="24"/>
    </w:rPr>
  </w:style>
  <w:style w:type="table" w:styleId="916">
    <w:name w:val="Table Grid"/>
    <w:basedOn w:val="758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7">
    <w:name w:val="Footer"/>
    <w:basedOn w:val="747"/>
    <w:link w:val="1017"/>
    <w:uiPriority w:val="99"/>
    <w:pPr>
      <w:tabs>
        <w:tab w:val="center" w:pos="4677" w:leader="none"/>
        <w:tab w:val="right" w:pos="9355" w:leader="none"/>
      </w:tabs>
    </w:pPr>
  </w:style>
  <w:style w:type="paragraph" w:styleId="918">
    <w:name w:val="Body Text"/>
    <w:basedOn w:val="747"/>
    <w:link w:val="985"/>
    <w:pPr>
      <w:spacing w:after="120"/>
    </w:pPr>
  </w:style>
  <w:style w:type="paragraph" w:styleId="919">
    <w:name w:val="Body Text Indent 2"/>
    <w:basedOn w:val="747"/>
    <w:pPr>
      <w:ind w:left="283"/>
      <w:spacing w:after="120" w:line="480" w:lineRule="auto"/>
    </w:pPr>
  </w:style>
  <w:style w:type="paragraph" w:styleId="920">
    <w:name w:val="Body Text 3"/>
    <w:basedOn w:val="747"/>
    <w:pPr>
      <w:spacing w:after="120"/>
    </w:pPr>
    <w:rPr>
      <w:sz w:val="16"/>
      <w:szCs w:val="16"/>
    </w:rPr>
  </w:style>
  <w:style w:type="paragraph" w:styleId="921">
    <w:name w:val="Body Text Indent 3"/>
    <w:basedOn w:val="747"/>
    <w:link w:val="1016"/>
    <w:uiPriority w:val="99"/>
    <w:pPr>
      <w:ind w:left="283"/>
      <w:spacing w:after="120"/>
    </w:pPr>
    <w:rPr>
      <w:sz w:val="16"/>
      <w:szCs w:val="16"/>
    </w:rPr>
  </w:style>
  <w:style w:type="paragraph" w:styleId="922">
    <w:name w:val="Body Text 2"/>
    <w:basedOn w:val="747"/>
    <w:pPr>
      <w:spacing w:after="120" w:line="480" w:lineRule="auto"/>
    </w:pPr>
  </w:style>
  <w:style w:type="paragraph" w:styleId="923">
    <w:name w:val="Block Text"/>
    <w:basedOn w:val="747"/>
    <w:pPr>
      <w:ind w:left="-567" w:right="-766"/>
      <w:jc w:val="center"/>
    </w:pPr>
    <w:rPr>
      <w:b/>
      <w:bCs/>
      <w:sz w:val="24"/>
      <w:szCs w:val="20"/>
    </w:rPr>
  </w:style>
  <w:style w:type="paragraph" w:styleId="924" w:customStyle="1">
    <w:name w:val="Подпункт"/>
    <w:basedOn w:val="747"/>
    <w:link w:val="980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25" w:customStyle="1">
    <w:name w:val="Пункт2"/>
    <w:basedOn w:val="747"/>
    <w:link w:val="1006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26">
    <w:name w:val="page number"/>
    <w:basedOn w:val="757"/>
  </w:style>
  <w:style w:type="paragraph" w:styleId="927">
    <w:name w:val="toc 1"/>
    <w:basedOn w:val="747"/>
    <w:next w:val="747"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928">
    <w:name w:val="toc 3"/>
    <w:basedOn w:val="747"/>
    <w:next w:val="747"/>
    <w:uiPriority w:val="39"/>
    <w:pPr>
      <w:ind w:left="280"/>
    </w:pPr>
    <w:rPr>
      <w:rFonts w:cstheme="minorHAnsi"/>
      <w:sz w:val="20"/>
      <w:szCs w:val="20"/>
    </w:rPr>
  </w:style>
  <w:style w:type="character" w:styleId="929">
    <w:name w:val="Hyperlink"/>
    <w:uiPriority w:val="99"/>
    <w:rPr>
      <w:color w:val="0000ff"/>
      <w:u w:val="single"/>
    </w:rPr>
  </w:style>
  <w:style w:type="paragraph" w:styleId="930" w:customStyle="1">
    <w:name w:val="Раздел регламента"/>
    <w:basedOn w:val="747"/>
  </w:style>
  <w:style w:type="paragraph" w:styleId="931" w:customStyle="1">
    <w:name w:val="Приложение к регламенту"/>
    <w:basedOn w:val="747"/>
    <w:pPr>
      <w:jc w:val="right"/>
    </w:pPr>
  </w:style>
  <w:style w:type="paragraph" w:styleId="932">
    <w:name w:val="toc 2"/>
    <w:basedOn w:val="747"/>
    <w:next w:val="747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33">
    <w:name w:val="Balloon Text"/>
    <w:basedOn w:val="747"/>
    <w:semiHidden/>
    <w:rPr>
      <w:rFonts w:ascii="Tahoma" w:hAnsi="Tahoma" w:cs="Tahoma"/>
      <w:sz w:val="16"/>
      <w:szCs w:val="16"/>
    </w:rPr>
  </w:style>
  <w:style w:type="character" w:styleId="934">
    <w:name w:val="annotation reference"/>
    <w:uiPriority w:val="99"/>
    <w:semiHidden/>
    <w:rPr>
      <w:sz w:val="16"/>
      <w:szCs w:val="16"/>
    </w:rPr>
  </w:style>
  <w:style w:type="paragraph" w:styleId="935">
    <w:name w:val="annotation text"/>
    <w:basedOn w:val="747"/>
    <w:link w:val="1000"/>
    <w:semiHidden/>
    <w:rPr>
      <w:sz w:val="20"/>
      <w:szCs w:val="20"/>
    </w:rPr>
  </w:style>
  <w:style w:type="paragraph" w:styleId="936">
    <w:name w:val="annotation subject"/>
    <w:basedOn w:val="935"/>
    <w:next w:val="935"/>
    <w:semiHidden/>
    <w:rPr>
      <w:b/>
      <w:bCs/>
    </w:rPr>
  </w:style>
  <w:style w:type="paragraph" w:styleId="937" w:customStyle="1">
    <w:name w:val="Обычный (веб)1"/>
    <w:basedOn w:val="747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938">
    <w:name w:val="toc 9"/>
    <w:basedOn w:val="747"/>
    <w:next w:val="747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939">
    <w:name w:val="toc 5"/>
    <w:basedOn w:val="747"/>
    <w:next w:val="747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940">
    <w:name w:val="toc 4"/>
    <w:basedOn w:val="747"/>
    <w:next w:val="747"/>
    <w:uiPriority w:val="39"/>
    <w:pPr>
      <w:ind w:left="560"/>
    </w:pPr>
    <w:rPr>
      <w:rFonts w:cstheme="minorHAnsi"/>
      <w:sz w:val="20"/>
      <w:szCs w:val="20"/>
    </w:rPr>
  </w:style>
  <w:style w:type="paragraph" w:styleId="941" w:customStyle="1">
    <w:name w:val="Раздел положения 2"/>
    <w:basedOn w:val="747"/>
    <w:pPr>
      <w:jc w:val="both"/>
      <w:pageBreakBefore/>
      <w:outlineLvl w:val="0"/>
    </w:pPr>
    <w:rPr>
      <w:b/>
    </w:rPr>
  </w:style>
  <w:style w:type="character" w:styleId="942">
    <w:name w:val="Strong"/>
    <w:qFormat/>
    <w:rPr>
      <w:b/>
      <w:bCs/>
    </w:rPr>
  </w:style>
  <w:style w:type="character" w:styleId="943" w:customStyle="1">
    <w:name w:val="Заголовок 6 Знак"/>
    <w:link w:val="753"/>
    <w:uiPriority w:val="9"/>
    <w:rPr>
      <w:rFonts w:ascii="Cambria" w:hAnsi="Cambria"/>
      <w:i/>
      <w:iCs/>
      <w:color w:val="243f60"/>
    </w:rPr>
  </w:style>
  <w:style w:type="character" w:styleId="944" w:customStyle="1">
    <w:name w:val="Заголовок 7 Знак"/>
    <w:link w:val="754"/>
    <w:uiPriority w:val="9"/>
    <w:rPr>
      <w:rFonts w:ascii="Cambria" w:hAnsi="Cambria"/>
      <w:i/>
      <w:iCs/>
      <w:color w:val="404040"/>
    </w:rPr>
  </w:style>
  <w:style w:type="character" w:styleId="945" w:customStyle="1">
    <w:name w:val="Заголовок 8 Знак"/>
    <w:link w:val="755"/>
    <w:uiPriority w:val="9"/>
    <w:rPr>
      <w:rFonts w:ascii="Cambria" w:hAnsi="Cambria"/>
      <w:color w:val="4f81bd"/>
    </w:rPr>
  </w:style>
  <w:style w:type="character" w:styleId="946" w:customStyle="1">
    <w:name w:val="Заголовок 1 Знак"/>
    <w:link w:val="748"/>
    <w:rPr>
      <w:rFonts w:eastAsia="Calibri"/>
      <w:b/>
      <w:sz w:val="28"/>
      <w:szCs w:val="28"/>
    </w:rPr>
  </w:style>
  <w:style w:type="paragraph" w:styleId="947" w:customStyle="1">
    <w:name w:val="Знак Знак Знак Знак Знак Знак Знак Знак Знак"/>
    <w:basedOn w:val="74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character" w:styleId="948" w:customStyle="1">
    <w:name w:val="Заголовок 2 Знак"/>
    <w:link w:val="749"/>
    <w:rPr>
      <w:rFonts w:eastAsia="Calibri"/>
      <w:b/>
      <w:bCs/>
      <w:sz w:val="24"/>
      <w:szCs w:val="24"/>
    </w:rPr>
  </w:style>
  <w:style w:type="character" w:styleId="949" w:customStyle="1">
    <w:name w:val="Заголовок 3 Знак"/>
    <w:link w:val="750"/>
    <w:rPr>
      <w:rFonts w:eastAsia="Calibri"/>
      <w:b/>
      <w:sz w:val="24"/>
      <w:szCs w:val="24"/>
    </w:rPr>
  </w:style>
  <w:style w:type="character" w:styleId="950" w:customStyle="1">
    <w:name w:val="Заголовок 4 Знак"/>
    <w:link w:val="751"/>
    <w:rPr>
      <w:rFonts w:eastAsia="Calibri"/>
      <w:b/>
      <w:bCs/>
      <w:sz w:val="24"/>
      <w:szCs w:val="24"/>
    </w:rPr>
  </w:style>
  <w:style w:type="character" w:styleId="951" w:customStyle="1">
    <w:name w:val="Заголовок 5 Знак"/>
    <w:link w:val="752"/>
    <w:uiPriority w:val="9"/>
    <w:rPr>
      <w:b/>
      <w:bCs/>
      <w:i/>
      <w:iCs/>
      <w:sz w:val="26"/>
      <w:szCs w:val="26"/>
    </w:rPr>
  </w:style>
  <w:style w:type="character" w:styleId="952" w:customStyle="1">
    <w:name w:val="Заголовок 9 Знак"/>
    <w:link w:val="756"/>
    <w:uiPriority w:val="9"/>
    <w:rPr>
      <w:rFonts w:ascii="Arial" w:hAnsi="Arial" w:cs="Arial"/>
      <w:sz w:val="22"/>
      <w:szCs w:val="22"/>
    </w:rPr>
  </w:style>
  <w:style w:type="paragraph" w:styleId="953">
    <w:name w:val="No Spacing"/>
    <w:basedOn w:val="747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954">
    <w:name w:val="Caption"/>
    <w:basedOn w:val="747"/>
    <w:next w:val="747"/>
    <w:link w:val="777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955" w:customStyle="1">
    <w:name w:val="Название Знак"/>
    <w:link w:val="913"/>
    <w:uiPriority w:val="10"/>
    <w:rPr>
      <w:sz w:val="28"/>
    </w:rPr>
  </w:style>
  <w:style w:type="paragraph" w:styleId="956">
    <w:name w:val="Subtitle"/>
    <w:basedOn w:val="747"/>
    <w:next w:val="747"/>
    <w:link w:val="957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957" w:customStyle="1">
    <w:name w:val="Подзаголовок Знак"/>
    <w:link w:val="956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958">
    <w:name w:val="Emphasis"/>
    <w:uiPriority w:val="20"/>
    <w:qFormat/>
    <w:rPr>
      <w:i/>
      <w:iCs/>
    </w:rPr>
  </w:style>
  <w:style w:type="paragraph" w:styleId="959">
    <w:name w:val="List Paragraph"/>
    <w:basedOn w:val="747"/>
    <w:link w:val="989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960">
    <w:name w:val="Quote"/>
    <w:basedOn w:val="747"/>
    <w:next w:val="747"/>
    <w:link w:val="961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961" w:customStyle="1">
    <w:name w:val="Цитата 2 Знак"/>
    <w:link w:val="960"/>
    <w:uiPriority w:val="29"/>
    <w:rPr>
      <w:rFonts w:ascii="Calibri" w:hAnsi="Calibri" w:eastAsia="Calibri"/>
      <w:i/>
      <w:iCs/>
      <w:color w:val="000000"/>
    </w:rPr>
  </w:style>
  <w:style w:type="paragraph" w:styleId="962">
    <w:name w:val="Intense Quote"/>
    <w:basedOn w:val="747"/>
    <w:next w:val="747"/>
    <w:link w:val="963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963" w:customStyle="1">
    <w:name w:val="Выделенная цитата Знак"/>
    <w:link w:val="962"/>
    <w:uiPriority w:val="30"/>
    <w:rPr>
      <w:rFonts w:ascii="Calibri" w:hAnsi="Calibri" w:eastAsia="Calibri"/>
      <w:b/>
      <w:bCs/>
      <w:i/>
      <w:iCs/>
      <w:color w:val="4f81bd"/>
    </w:rPr>
  </w:style>
  <w:style w:type="character" w:styleId="964">
    <w:name w:val="Subtle Emphasis"/>
    <w:uiPriority w:val="19"/>
    <w:qFormat/>
    <w:rPr>
      <w:i/>
      <w:iCs/>
      <w:color w:val="808080"/>
    </w:rPr>
  </w:style>
  <w:style w:type="character" w:styleId="965">
    <w:name w:val="Intense Emphasis"/>
    <w:uiPriority w:val="21"/>
    <w:qFormat/>
    <w:rPr>
      <w:b/>
      <w:bCs/>
      <w:i/>
      <w:iCs/>
      <w:color w:val="4f81bd"/>
    </w:rPr>
  </w:style>
  <w:style w:type="character" w:styleId="966">
    <w:name w:val="Subtle Reference"/>
    <w:uiPriority w:val="31"/>
    <w:qFormat/>
    <w:rPr>
      <w:smallCaps/>
      <w:color w:val="c0504d"/>
      <w:u w:val="single"/>
    </w:rPr>
  </w:style>
  <w:style w:type="character" w:styleId="967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968">
    <w:name w:val="Book Title"/>
    <w:uiPriority w:val="33"/>
    <w:qFormat/>
    <w:rPr>
      <w:b/>
      <w:bCs/>
      <w:smallCaps/>
      <w:spacing w:val="5"/>
    </w:rPr>
  </w:style>
  <w:style w:type="paragraph" w:styleId="969">
    <w:name w:val="TOC Heading"/>
    <w:basedOn w:val="748"/>
    <w:next w:val="747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970">
    <w:name w:val="E-mail Signature"/>
    <w:basedOn w:val="747"/>
    <w:link w:val="971"/>
    <w:uiPriority w:val="99"/>
    <w:unhideWhenUsed/>
    <w:rPr>
      <w:rFonts w:eastAsia="Calibri"/>
      <w:sz w:val="24"/>
      <w:szCs w:val="24"/>
    </w:rPr>
  </w:style>
  <w:style w:type="character" w:styleId="971" w:customStyle="1">
    <w:name w:val="Электронная подпись Знак"/>
    <w:link w:val="970"/>
    <w:uiPriority w:val="99"/>
    <w:rPr>
      <w:rFonts w:eastAsia="Calibri"/>
      <w:sz w:val="24"/>
      <w:szCs w:val="24"/>
    </w:rPr>
  </w:style>
  <w:style w:type="paragraph" w:styleId="972" w:customStyle="1">
    <w:name w:val="Знак"/>
    <w:basedOn w:val="7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73" w:customStyle="1">
    <w:name w:val="Нумерованный список ур3"/>
    <w:basedOn w:val="747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974" w:customStyle="1">
    <w:name w:val="Нумерованный список 1"/>
    <w:basedOn w:val="747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5" w:customStyle="1">
    <w:name w:val="Нумерованный список ур2"/>
    <w:basedOn w:val="747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976">
    <w:name w:val="Revision"/>
    <w:hidden/>
    <w:uiPriority w:val="99"/>
    <w:semiHidden/>
    <w:rPr>
      <w:rFonts w:eastAsia="Calibri"/>
      <w:sz w:val="24"/>
      <w:szCs w:val="24"/>
    </w:rPr>
  </w:style>
  <w:style w:type="paragraph" w:styleId="977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978" w:customStyle="1">
    <w:name w:val="Знак Знак3 Знак Знак"/>
    <w:basedOn w:val="747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 w:eastAsia="en-US"/>
    </w:rPr>
  </w:style>
  <w:style w:type="paragraph" w:styleId="979" w:customStyle="1">
    <w:name w:val="Пункт"/>
    <w:basedOn w:val="747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980" w:customStyle="1">
    <w:name w:val="Подпункт Знак1"/>
    <w:link w:val="924"/>
    <w:rPr>
      <w:sz w:val="28"/>
    </w:rPr>
  </w:style>
  <w:style w:type="paragraph" w:styleId="981" w:customStyle="1">
    <w:name w:val="Абзац списка1"/>
    <w:basedOn w:val="747"/>
    <w:pPr>
      <w:contextualSpacing/>
      <w:ind w:left="720"/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982" w:customStyle="1">
    <w:name w:val="Текст сноски Знак"/>
    <w:link w:val="908"/>
    <w:uiPriority w:val="99"/>
  </w:style>
  <w:style w:type="numbering" w:styleId="983" w:customStyle="1">
    <w:name w:val="Стиль1"/>
    <w:uiPriority w:val="99"/>
    <w:pPr>
      <w:numPr>
        <w:ilvl w:val="0"/>
        <w:numId w:val="3"/>
      </w:numPr>
    </w:pPr>
  </w:style>
  <w:style w:type="paragraph" w:styleId="984" w:customStyle="1">
    <w:name w:val="Таблица"/>
    <w:basedOn w:val="747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985" w:customStyle="1">
    <w:name w:val="Основной текст Знак"/>
    <w:link w:val="918"/>
    <w:rPr>
      <w:sz w:val="28"/>
      <w:szCs w:val="28"/>
    </w:rPr>
  </w:style>
  <w:style w:type="character" w:styleId="986" w:customStyle="1">
    <w:name w:val="blk"/>
  </w:style>
  <w:style w:type="numbering" w:styleId="987" w:customStyle="1">
    <w:name w:val="Стиль2"/>
    <w:uiPriority w:val="99"/>
    <w:pPr>
      <w:numPr>
        <w:ilvl w:val="0"/>
        <w:numId w:val="5"/>
      </w:numPr>
    </w:pPr>
  </w:style>
  <w:style w:type="paragraph" w:styleId="988" w:customStyle="1">
    <w:name w:val="Таблица шапка"/>
    <w:basedOn w:val="747"/>
    <w:pPr>
      <w:ind w:left="57" w:right="57"/>
      <w:keepNext/>
      <w:spacing w:before="40" w:after="40"/>
    </w:pPr>
    <w:rPr>
      <w:sz w:val="22"/>
      <w:szCs w:val="26"/>
    </w:rPr>
  </w:style>
  <w:style w:type="character" w:styleId="989" w:customStyle="1">
    <w:name w:val="Абзац списка Знак"/>
    <w:link w:val="959"/>
    <w:uiPriority w:val="34"/>
    <w:qFormat/>
    <w:rPr>
      <w:rFonts w:eastAsia="Calibri"/>
      <w:sz w:val="24"/>
      <w:szCs w:val="24"/>
    </w:rPr>
  </w:style>
  <w:style w:type="character" w:styleId="990" w:customStyle="1">
    <w:name w:val="комментарий"/>
    <w:rPr>
      <w:b/>
      <w:i/>
      <w:shd w:val="clear" w:color="auto" w:fill="ffff99"/>
    </w:rPr>
  </w:style>
  <w:style w:type="paragraph" w:styleId="991" w:customStyle="1">
    <w:name w:val="Подподпункт"/>
    <w:basedOn w:val="924"/>
    <w:link w:val="992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</w:rPr>
  </w:style>
  <w:style w:type="character" w:styleId="992" w:customStyle="1">
    <w:name w:val="Подподпункт Знак"/>
    <w:link w:val="991"/>
    <w:rPr>
      <w:sz w:val="26"/>
      <w:szCs w:val="26"/>
    </w:rPr>
  </w:style>
  <w:style w:type="paragraph" w:styleId="993" w:customStyle="1">
    <w:name w:val="УРОВЕНЬ_(а)"/>
    <w:basedOn w:val="959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  <w:lang w:eastAsia="en-US"/>
    </w:rPr>
  </w:style>
  <w:style w:type="paragraph" w:styleId="994" w:customStyle="1">
    <w:name w:val="УРОВЕНЬ_-"/>
    <w:basedOn w:val="959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  <w:lang w:eastAsia="en-US"/>
    </w:rPr>
  </w:style>
  <w:style w:type="paragraph" w:styleId="995" w:customStyle="1">
    <w:name w:val="УРОВЕНЬ_Абзац_тип2"/>
    <w:basedOn w:val="959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6" w:customStyle="1">
    <w:name w:val="УРОВЕНЬ_Абзац_тип3"/>
    <w:basedOn w:val="959"/>
    <w:link w:val="998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  <w:lang w:eastAsia="en-US"/>
    </w:rPr>
  </w:style>
  <w:style w:type="paragraph" w:styleId="997" w:customStyle="1">
    <w:name w:val="УРОВЕНЬ_Подпись"/>
    <w:basedOn w:val="959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  <w:lang w:eastAsia="en-US"/>
    </w:rPr>
  </w:style>
  <w:style w:type="character" w:styleId="998" w:customStyle="1">
    <w:name w:val="УРОВЕНЬ_Абзац_тип3 Знак"/>
    <w:link w:val="996"/>
    <w:rPr>
      <w:rFonts w:eastAsia="Calibri"/>
      <w:sz w:val="26"/>
      <w:szCs w:val="28"/>
      <w:lang w:eastAsia="en-US"/>
    </w:rPr>
  </w:style>
  <w:style w:type="character" w:styleId="999" w:customStyle="1">
    <w:name w:val="Верхний колонтитул Знак"/>
    <w:link w:val="914"/>
    <w:uiPriority w:val="99"/>
    <w:rPr>
      <w:sz w:val="24"/>
      <w:szCs w:val="24"/>
    </w:rPr>
  </w:style>
  <w:style w:type="character" w:styleId="1000" w:customStyle="1">
    <w:name w:val="Текст примечания Знак"/>
    <w:link w:val="935"/>
    <w:semiHidden/>
  </w:style>
  <w:style w:type="paragraph" w:styleId="1001" w:customStyle="1">
    <w:name w:val="Стиль Заголовок 1 + по ширине"/>
    <w:basedOn w:val="748"/>
    <w:pPr>
      <w:numPr>
        <w:ilvl w:val="0"/>
        <w:numId w:val="0"/>
      </w:num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</w:rPr>
  </w:style>
  <w:style w:type="paragraph" w:styleId="1002">
    <w:name w:val="endnote text"/>
    <w:basedOn w:val="747"/>
    <w:link w:val="1003"/>
    <w:rPr>
      <w:sz w:val="20"/>
      <w:szCs w:val="20"/>
    </w:rPr>
  </w:style>
  <w:style w:type="character" w:styleId="1003" w:customStyle="1">
    <w:name w:val="Текст концевой сноски Знак"/>
    <w:basedOn w:val="757"/>
    <w:link w:val="1002"/>
  </w:style>
  <w:style w:type="character" w:styleId="1004">
    <w:name w:val="endnote reference"/>
    <w:basedOn w:val="757"/>
    <w:rPr>
      <w:vertAlign w:val="superscript"/>
    </w:rPr>
  </w:style>
  <w:style w:type="paragraph" w:styleId="1005" w:customStyle="1">
    <w:name w:val="Заголовок 2 КВВ"/>
    <w:basedOn w:val="747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06" w:customStyle="1">
    <w:name w:val="Пункт2 Знак"/>
    <w:link w:val="925"/>
    <w:rPr>
      <w:b/>
      <w:sz w:val="28"/>
    </w:rPr>
  </w:style>
  <w:style w:type="paragraph" w:styleId="1007" w:customStyle="1">
    <w:name w:val="Таблица текст"/>
    <w:basedOn w:val="747"/>
    <w:pPr>
      <w:ind w:left="57" w:right="57"/>
      <w:spacing w:before="40" w:after="40"/>
    </w:pPr>
    <w:rPr>
      <w:sz w:val="24"/>
      <w:szCs w:val="26"/>
    </w:rPr>
  </w:style>
  <w:style w:type="paragraph" w:styleId="1008">
    <w:name w:val="Normal (Web)"/>
    <w:basedOn w:val="747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09" w:customStyle="1">
    <w:name w:val="УРОВЕНЬ_1."/>
    <w:basedOn w:val="959"/>
    <w:link w:val="1010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  <w:lang w:eastAsia="en-US"/>
    </w:rPr>
  </w:style>
  <w:style w:type="character" w:styleId="1010" w:customStyle="1">
    <w:name w:val="УРОВЕНЬ_1. Знак"/>
    <w:link w:val="1009"/>
    <w:rPr>
      <w:rFonts w:eastAsia="Calibri"/>
      <w:caps/>
      <w:sz w:val="28"/>
      <w:szCs w:val="28"/>
      <w:lang w:eastAsia="en-US"/>
    </w:rPr>
  </w:style>
  <w:style w:type="table" w:styleId="1011" w:customStyle="1">
    <w:name w:val="Сетка таблицы1"/>
    <w:basedOn w:val="758"/>
    <w:next w:val="916"/>
    <w:uiPriority w:val="39"/>
    <w:rPr>
      <w:rFonts w:asciiTheme="minorHAnsi" w:hAnsiTheme="minorHAnsi" w:eastAsiaTheme="minorHAnsi" w:cstheme="minorBidi"/>
      <w:sz w:val="24"/>
      <w:szCs w:val="24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2">
    <w:name w:val="toc 6"/>
    <w:basedOn w:val="747"/>
    <w:next w:val="747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13">
    <w:name w:val="toc 7"/>
    <w:basedOn w:val="747"/>
    <w:next w:val="747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14">
    <w:name w:val="toc 8"/>
    <w:basedOn w:val="747"/>
    <w:next w:val="747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15" w:customStyle="1">
    <w:name w:val="Неразрешенное упоминание1"/>
    <w:basedOn w:val="757"/>
    <w:uiPriority w:val="99"/>
    <w:semiHidden/>
    <w:unhideWhenUsed/>
    <w:rPr>
      <w:color w:val="605e5c"/>
      <w:shd w:val="clear" w:color="auto" w:fill="e1dfdd"/>
    </w:rPr>
  </w:style>
  <w:style w:type="character" w:styleId="1016" w:customStyle="1">
    <w:name w:val="Основной текст с отступом 3 Знак"/>
    <w:link w:val="921"/>
    <w:uiPriority w:val="99"/>
    <w:rPr>
      <w:sz w:val="16"/>
      <w:szCs w:val="16"/>
    </w:rPr>
  </w:style>
  <w:style w:type="character" w:styleId="1017" w:customStyle="1">
    <w:name w:val="Нижний колонтитул Знак"/>
    <w:link w:val="917"/>
    <w:uiPriority w:val="99"/>
    <w:rPr>
      <w:sz w:val="28"/>
      <w:szCs w:val="28"/>
    </w:rPr>
  </w:style>
  <w:style w:type="table" w:styleId="1018" w:customStyle="1">
    <w:name w:val="Grid Table 5 Dark - Accent 3"/>
    <w:basedOn w:val="75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1019" w:customStyle="1">
    <w:name w:val="Сетка таблицы2"/>
    <w:basedOn w:val="758"/>
    <w:next w:val="916"/>
    <w:uiPriority w:val="59"/>
    <w:rPr>
      <w:rFonts w:eastAsia="Noto Serif CJK SC" w:cs="Arial Unicode M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20" w:customStyle="1">
    <w:name w:val="Основной текст (2)_"/>
    <w:basedOn w:val="757"/>
    <w:link w:val="1021"/>
    <w:rPr>
      <w:sz w:val="22"/>
      <w:szCs w:val="22"/>
      <w:shd w:val="clear" w:color="auto" w:fill="ffffff"/>
    </w:rPr>
  </w:style>
  <w:style w:type="paragraph" w:styleId="1021" w:customStyle="1">
    <w:name w:val="Основной текст (2)"/>
    <w:basedOn w:val="747"/>
    <w:link w:val="1020"/>
    <w:pPr>
      <w:spacing w:before="360" w:after="100" w:line="283" w:lineRule="exact"/>
      <w:shd w:val="clear" w:color="auto" w:fill="ffffff"/>
      <w:widowControl w:val="off"/>
    </w:pPr>
    <w:rPr>
      <w:sz w:val="22"/>
      <w:szCs w:val="22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D6840-6306-440F-8141-4BC935895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creator>Быстров Олег Геннадьевич</dc:creator>
  <cp:lastModifiedBy>nikitina_nv</cp:lastModifiedBy>
  <cp:revision>16</cp:revision>
  <dcterms:created xsi:type="dcterms:W3CDTF">2026-05-21T04:44:00Z</dcterms:created>
  <dcterms:modified xsi:type="dcterms:W3CDTF">2026-07-09T23:33:00Z</dcterms:modified>
</cp:coreProperties>
</file>